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DA632" w14:textId="551689DC" w:rsidR="002957F4" w:rsidRPr="001770C8" w:rsidRDefault="00B870FF" w:rsidP="002957F4">
      <w:pPr>
        <w:pageBreakBefore/>
        <w:widowControl w:val="0"/>
        <w:spacing w:before="40" w:after="40" w:line="276" w:lineRule="auto"/>
        <w:jc w:val="center"/>
        <w:rPr>
          <w:b/>
        </w:rPr>
      </w:pPr>
      <w:r w:rsidRPr="001770C8">
        <w:rPr>
          <w:b/>
        </w:rPr>
        <w:t>Phụ lục</w:t>
      </w:r>
      <w:r w:rsidR="00A60DF7" w:rsidRPr="001770C8">
        <w:rPr>
          <w:b/>
        </w:rPr>
        <w:t xml:space="preserve"> VI</w:t>
      </w:r>
    </w:p>
    <w:p w14:paraId="5D2D84F5" w14:textId="77777777" w:rsidR="002957F4" w:rsidRPr="00C82F23" w:rsidRDefault="002957F4" w:rsidP="002957F4">
      <w:pPr>
        <w:spacing w:before="40" w:after="40" w:line="276" w:lineRule="auto"/>
        <w:jc w:val="center"/>
        <w:rPr>
          <w:b/>
        </w:rPr>
      </w:pPr>
      <w:r w:rsidRPr="00C82F23">
        <w:rPr>
          <w:b/>
          <w:sz w:val="26"/>
        </w:rPr>
        <w:t>PHƯƠNG PHÁP XÁC ĐỊNH DỰ TOÁN CHI PHÍ TƯ VẤN</w:t>
      </w:r>
    </w:p>
    <w:p w14:paraId="2D194660" w14:textId="77777777" w:rsidR="00C82F23" w:rsidRDefault="001F1A3E" w:rsidP="00C82F23">
      <w:pPr>
        <w:spacing w:before="40" w:after="40" w:line="276" w:lineRule="auto"/>
        <w:jc w:val="center"/>
        <w:rPr>
          <w:i/>
        </w:rPr>
      </w:pPr>
      <w:r w:rsidRPr="001770C8">
        <w:rPr>
          <w:i/>
        </w:rPr>
        <w:t>(Kèm theo Thông tư số</w:t>
      </w:r>
      <w:r w:rsidR="00C82F23">
        <w:rPr>
          <w:i/>
        </w:rPr>
        <w:t xml:space="preserve"> 11</w:t>
      </w:r>
      <w:r w:rsidRPr="001770C8">
        <w:rPr>
          <w:i/>
        </w:rPr>
        <w:t xml:space="preserve">/2021/TT-BXD ngày </w:t>
      </w:r>
      <w:r w:rsidR="00C82F23">
        <w:rPr>
          <w:i/>
        </w:rPr>
        <w:t>31</w:t>
      </w:r>
      <w:r w:rsidRPr="001770C8">
        <w:rPr>
          <w:i/>
        </w:rPr>
        <w:t xml:space="preserve"> tháng </w:t>
      </w:r>
      <w:r w:rsidR="00AE6915" w:rsidRPr="001770C8">
        <w:rPr>
          <w:i/>
        </w:rPr>
        <w:t>8</w:t>
      </w:r>
      <w:r w:rsidRPr="001770C8">
        <w:rPr>
          <w:i/>
        </w:rPr>
        <w:t xml:space="preserve"> năm 2021 </w:t>
      </w:r>
    </w:p>
    <w:p w14:paraId="1AAD36E1" w14:textId="3DAD9596" w:rsidR="002957F4" w:rsidRPr="001770C8" w:rsidRDefault="001F1A3E" w:rsidP="00C82F23">
      <w:pPr>
        <w:spacing w:before="40" w:after="40" w:line="276" w:lineRule="auto"/>
        <w:jc w:val="center"/>
        <w:rPr>
          <w:i/>
        </w:rPr>
      </w:pPr>
      <w:r w:rsidRPr="001770C8">
        <w:rPr>
          <w:i/>
        </w:rPr>
        <w:t>của Bộ trưởng Bộ Xây dựng)</w:t>
      </w:r>
    </w:p>
    <w:p w14:paraId="021F1834" w14:textId="77777777" w:rsidR="002957F4" w:rsidRPr="001770C8" w:rsidRDefault="002957F4" w:rsidP="002957F4">
      <w:pPr>
        <w:spacing w:before="120" w:after="120"/>
        <w:jc w:val="center"/>
        <w:rPr>
          <w:i/>
        </w:rPr>
      </w:pPr>
      <w:r w:rsidRPr="001770C8">
        <w:rPr>
          <w:i/>
        </w:rPr>
        <w:t xml:space="preserve"> </w:t>
      </w:r>
    </w:p>
    <w:p w14:paraId="7DF03AC9" w14:textId="77777777" w:rsidR="002957F4" w:rsidRPr="00C82F23" w:rsidRDefault="002957F4" w:rsidP="00837126">
      <w:pPr>
        <w:spacing w:before="120" w:line="276" w:lineRule="auto"/>
        <w:ind w:firstLine="720"/>
        <w:jc w:val="both"/>
        <w:rPr>
          <w:b/>
          <w:sz w:val="26"/>
          <w:szCs w:val="26"/>
        </w:rPr>
      </w:pPr>
      <w:r w:rsidRPr="00C82F23">
        <w:rPr>
          <w:b/>
          <w:sz w:val="26"/>
          <w:szCs w:val="26"/>
        </w:rPr>
        <w:t>I. CÁC NGUYÊN TẮC CHUNG</w:t>
      </w:r>
    </w:p>
    <w:p w14:paraId="040C1E32" w14:textId="77777777" w:rsidR="002957F4" w:rsidRPr="001770C8" w:rsidRDefault="002957F4" w:rsidP="00837126">
      <w:pPr>
        <w:spacing w:before="120" w:line="276" w:lineRule="auto"/>
        <w:ind w:firstLine="720"/>
        <w:jc w:val="both"/>
        <w:rPr>
          <w:spacing w:val="-2"/>
        </w:rPr>
      </w:pPr>
      <w:r w:rsidRPr="001770C8">
        <w:t xml:space="preserve">1. Dự toán chi phí tư vấn được xác định trên cơ sở phạm vi, nội dung, </w:t>
      </w:r>
      <w:r w:rsidRPr="001770C8">
        <w:rPr>
          <w:spacing w:val="-2"/>
        </w:rPr>
        <w:t>khối lượng, tiến độ của công việc tư vấn cần thực hiện, yêu cầu về điều kiện năng lực, kinh nghiệm của nhà thầu, địa điểm dự kiến thực hiện công việc tư vấn và các quy định về chế độ, chính sách do nhà nước ban hành; các quy định của điều ước quốc tế, thỏa thuận về vốn ODA, vốn vay ưu đãi đã được ký kết (đối với dự án sử dụng vốn ODA, vốn vay ưu đãi của nhà tài trợ).</w:t>
      </w:r>
    </w:p>
    <w:p w14:paraId="5FEF213B" w14:textId="77777777" w:rsidR="002957F4" w:rsidRPr="001770C8" w:rsidRDefault="002957F4" w:rsidP="00837126">
      <w:pPr>
        <w:spacing w:before="120" w:line="276" w:lineRule="auto"/>
        <w:ind w:firstLine="720"/>
        <w:jc w:val="both"/>
        <w:rPr>
          <w:spacing w:val="-2"/>
        </w:rPr>
      </w:pPr>
      <w:r w:rsidRPr="001770C8">
        <w:rPr>
          <w:spacing w:val="-2"/>
        </w:rPr>
        <w:t>2. Chi phí tư vấn xác định bằng cách lập dự toán theo hướng dẫn tại Mục II Phụ lục này được áp dụng đối với các công việc do tư vấn trong nước thực hiện chưa có định mức chi phí hoặc đã có định mức chi phí nhưng chưa phù hợp.</w:t>
      </w:r>
    </w:p>
    <w:p w14:paraId="73DAAFB2" w14:textId="648EAB49" w:rsidR="002957F4" w:rsidRPr="001770C8" w:rsidRDefault="002957F4" w:rsidP="00837126">
      <w:pPr>
        <w:spacing w:before="120" w:line="276" w:lineRule="auto"/>
        <w:ind w:firstLine="720"/>
        <w:jc w:val="both"/>
      </w:pPr>
      <w:r w:rsidRPr="001770C8">
        <w:t>3. Chi phí tư vấn xác định bằng cách lập dự toán theo hướng dẫn tại Mục III Phụ lục này được áp dụng đối với các công việc có yêu cầu phải thuê tư vấn nước ngoài thực hiện</w:t>
      </w:r>
      <w:r w:rsidRPr="001770C8">
        <w:rPr>
          <w:spacing w:val="-2"/>
        </w:rPr>
        <w:t>.</w:t>
      </w:r>
      <w:r w:rsidR="0007042E" w:rsidRPr="001770C8">
        <w:rPr>
          <w:spacing w:val="-2"/>
        </w:rPr>
        <w:t xml:space="preserve"> Dự toán chi phí tư vấn nước ngoài được lập trong trường hợp sử dụng tư vấn nước ngoài là nhà thầu chính, tổng thầu, nhà thầu liên danh với nhà thầu Việt Nam.</w:t>
      </w:r>
    </w:p>
    <w:p w14:paraId="279322A5" w14:textId="77777777" w:rsidR="002957F4" w:rsidRPr="001770C8" w:rsidRDefault="002957F4" w:rsidP="00837126">
      <w:pPr>
        <w:shd w:val="clear" w:color="auto" w:fill="FFFFFF"/>
        <w:spacing w:before="120" w:line="276" w:lineRule="auto"/>
        <w:ind w:firstLine="720"/>
        <w:jc w:val="both"/>
      </w:pPr>
      <w:r w:rsidRPr="001770C8">
        <w:t>Trường hợp có thể dự tính được nội dung, khối lượng phần công việc của nhà thầu nước ngoài và nhà thầu Việt Nam (trường hợp liên danh), hoặc của nhà thầu chính nước ngoài và nhà thầu phụ Việt Nam (trường hợp sử dụng thầu phụ Việt Nam): dự toán chi phí phần công việc do tư vấn trong nước thực hiện được xác định trên cơ sở tham khảo các dữ liệu về chi phí để thực hiện các nội dung, phần công việc tương tự đã được tư vấn trong nước tham gia thực hiện cùng với tư vấn nước ngoài tại Việt Nam hoặc bằng cách lập dự toán theo hướng dẫn tại mục II Phụ lục này.</w:t>
      </w:r>
    </w:p>
    <w:p w14:paraId="52A4EBD5" w14:textId="643887EB" w:rsidR="002957F4" w:rsidRPr="00C82F23" w:rsidRDefault="002957F4" w:rsidP="00837126">
      <w:pPr>
        <w:spacing w:before="120" w:line="276" w:lineRule="auto"/>
        <w:ind w:firstLine="720"/>
        <w:jc w:val="both"/>
        <w:rPr>
          <w:b/>
          <w:sz w:val="26"/>
          <w:szCs w:val="26"/>
        </w:rPr>
      </w:pPr>
      <w:r w:rsidRPr="00C82F23">
        <w:rPr>
          <w:b/>
          <w:sz w:val="26"/>
          <w:szCs w:val="26"/>
        </w:rPr>
        <w:t>II. XÁC ĐỊNH DỰ TOÁN CHI PHÍ TƯ VẤN</w:t>
      </w:r>
    </w:p>
    <w:p w14:paraId="1BF826B1" w14:textId="77777777" w:rsidR="002957F4" w:rsidRPr="001770C8" w:rsidRDefault="002957F4" w:rsidP="00837126">
      <w:pPr>
        <w:spacing w:before="120" w:line="276" w:lineRule="auto"/>
        <w:ind w:firstLine="720"/>
        <w:jc w:val="both"/>
      </w:pPr>
      <w:r w:rsidRPr="001770C8">
        <w:t>Dự toán chi phí tư vấn gồm các khoản chi phí: chi phí chuyên gia (C</w:t>
      </w:r>
      <w:r w:rsidRPr="001770C8">
        <w:rPr>
          <w:vertAlign w:val="subscript"/>
        </w:rPr>
        <w:t>cg</w:t>
      </w:r>
      <w:r w:rsidRPr="001770C8">
        <w:t>); chi phí quản lý (C</w:t>
      </w:r>
      <w:r w:rsidRPr="001770C8">
        <w:rPr>
          <w:vertAlign w:val="subscript"/>
        </w:rPr>
        <w:t>ql</w:t>
      </w:r>
      <w:r w:rsidRPr="001770C8">
        <w:t>); chi phí khác (C</w:t>
      </w:r>
      <w:r w:rsidRPr="001770C8">
        <w:rPr>
          <w:vertAlign w:val="subscript"/>
        </w:rPr>
        <w:t>k</w:t>
      </w:r>
      <w:r w:rsidRPr="001770C8">
        <w:t>); thu nhập chịu thuế tính trước (TL); thuế giá trị gia tăng (GTGT) và chi phí dự phòng (C</w:t>
      </w:r>
      <w:r w:rsidRPr="001770C8">
        <w:rPr>
          <w:vertAlign w:val="subscript"/>
        </w:rPr>
        <w:t>dp</w:t>
      </w:r>
      <w:r w:rsidRPr="001770C8">
        <w:t>). Các khoản chi phí được xác định cụ thể như sau:</w:t>
      </w:r>
    </w:p>
    <w:p w14:paraId="19F125C0" w14:textId="77777777" w:rsidR="002957F4" w:rsidRPr="001770C8" w:rsidRDefault="002957F4" w:rsidP="008856AD">
      <w:pPr>
        <w:widowControl w:val="0"/>
        <w:spacing w:before="120" w:line="276" w:lineRule="auto"/>
        <w:ind w:firstLine="720"/>
        <w:jc w:val="both"/>
      </w:pPr>
      <w:r w:rsidRPr="001770C8">
        <w:t>1. Chi phí chuyên gia (C</w:t>
      </w:r>
      <w:r w:rsidRPr="001770C8">
        <w:rPr>
          <w:vertAlign w:val="subscript"/>
        </w:rPr>
        <w:t>cg</w:t>
      </w:r>
      <w:r w:rsidRPr="001770C8">
        <w:t>): xác định theo số lượng chuyên gia, thời gian làm việc của chuyên gia (số lượng tháng-người, ngày-người hoặc giờ-người) và tiền lương của chuyên gia tư vấn.</w:t>
      </w:r>
    </w:p>
    <w:p w14:paraId="5341FB3C" w14:textId="77777777" w:rsidR="002957F4" w:rsidRPr="001770C8" w:rsidRDefault="002957F4" w:rsidP="00837126">
      <w:pPr>
        <w:widowControl w:val="0"/>
        <w:spacing w:before="120" w:line="276" w:lineRule="auto"/>
        <w:ind w:firstLine="720"/>
        <w:jc w:val="both"/>
      </w:pPr>
      <w:r w:rsidRPr="001770C8">
        <w:lastRenderedPageBreak/>
        <w:t>a) Số lượng chuyên gia, thời gian làm việc của chuyên gia (gồm các kỹ sư, kiến trúc sư, chuyên gia, kỹ thuật viên…): xác định theo yêu cầu cụ thể về nội dung, khối lượng công việc, tiến độ thực hiện của từng loại công việc tư vấn, yêu cầu về trình độ chuyên môn, kinh nghiệm của từng loại chuyên gia tư vấn… Việc dự kiến số lượng, loại chuyên gia và thời gian thực hiện của từng chuyên gia phải được thể hiện trong đề cương, phương án thực hiện công việc tư vấn và phải phù hợp với phạm vi công việc, khối lượng công việc, nội dung, tiến độ thực hiện của công việc tư vấn cần lập dự toán.</w:t>
      </w:r>
    </w:p>
    <w:p w14:paraId="25500763" w14:textId="5A3B7ECE" w:rsidR="002957F4" w:rsidRPr="001770C8" w:rsidRDefault="002957F4" w:rsidP="00837126">
      <w:pPr>
        <w:spacing w:before="120" w:line="276" w:lineRule="auto"/>
        <w:ind w:firstLine="720"/>
        <w:jc w:val="both"/>
      </w:pPr>
      <w:r w:rsidRPr="001770C8">
        <w:t xml:space="preserve">b) Tiền lương chuyên gia tư vấn xác định trên cơ sở đơn giá </w:t>
      </w:r>
      <w:r w:rsidR="001019BB" w:rsidRPr="001770C8">
        <w:t xml:space="preserve">ngày công </w:t>
      </w:r>
      <w:r w:rsidRPr="001770C8">
        <w:t xml:space="preserve">chuyên gia tư vấn theo </w:t>
      </w:r>
      <w:r w:rsidR="00D658C6" w:rsidRPr="001770C8">
        <w:t xml:space="preserve">hướng dẫn tại </w:t>
      </w:r>
      <w:r w:rsidR="00306163" w:rsidRPr="001770C8">
        <w:t xml:space="preserve">Bảng 6.3 </w:t>
      </w:r>
      <w:r w:rsidR="000E25C7" w:rsidRPr="001770C8">
        <w:t>Phụ lục này</w:t>
      </w:r>
      <w:r w:rsidRPr="001770C8">
        <w:t>.</w:t>
      </w:r>
    </w:p>
    <w:p w14:paraId="0A382B99" w14:textId="0DE6DFF6" w:rsidR="002957F4" w:rsidRPr="001770C8" w:rsidRDefault="002957F4" w:rsidP="00837126">
      <w:pPr>
        <w:spacing w:before="120" w:line="276" w:lineRule="auto"/>
        <w:ind w:firstLine="720"/>
        <w:jc w:val="both"/>
        <w:rPr>
          <w:spacing w:val="-2"/>
        </w:rPr>
      </w:pPr>
      <w:r w:rsidRPr="001770C8">
        <w:rPr>
          <w:spacing w:val="-2"/>
        </w:rPr>
        <w:t>Trường hợp liên danh với nhà thầu nước ngoài hoặc là nhà thầu phụ của  nhà thầu nước ngoài, thì tiền lương chuyên gia tư vấn trong nước xác định trên cơ sở tham kh</w:t>
      </w:r>
      <w:bookmarkStart w:id="0" w:name="_GoBack"/>
      <w:bookmarkEnd w:id="0"/>
      <w:r w:rsidRPr="001770C8">
        <w:rPr>
          <w:spacing w:val="-2"/>
        </w:rPr>
        <w:t>ảo mức lương chuyên gia Việt Nam làm việc theo các hợp đồng với nhà thầu nước ngoài đã trúng thầu tại Việt Nam; hoặc mức lương chuyên gia Việt Nam do các tổ chức quốc tế hướng dẫn đối với tư vấn trong nước làm việc cho tổ chức tư vấn nước ngoài tại Việt Nam; hoặc xác định</w:t>
      </w:r>
      <w:r w:rsidR="000B4607" w:rsidRPr="001770C8">
        <w:rPr>
          <w:spacing w:val="-2"/>
        </w:rPr>
        <w:t xml:space="preserve"> trên cơ sở đơn giá ngày công</w:t>
      </w:r>
      <w:r w:rsidRPr="001770C8">
        <w:rPr>
          <w:spacing w:val="-2"/>
        </w:rPr>
        <w:t xml:space="preserve"> của c</w:t>
      </w:r>
      <w:r w:rsidR="000B4607" w:rsidRPr="001770C8">
        <w:rPr>
          <w:spacing w:val="-2"/>
        </w:rPr>
        <w:t xml:space="preserve">huyên gia tư vấn theo hướng dẫn tại </w:t>
      </w:r>
      <w:r w:rsidR="000B4607" w:rsidRPr="001770C8">
        <w:t>Bảng 6.3 Phụ lục này</w:t>
      </w:r>
      <w:r w:rsidR="000B4607" w:rsidRPr="001770C8">
        <w:rPr>
          <w:spacing w:val="-2"/>
        </w:rPr>
        <w:t xml:space="preserve"> </w:t>
      </w:r>
      <w:r w:rsidRPr="001770C8">
        <w:rPr>
          <w:spacing w:val="-2"/>
        </w:rPr>
        <w:t>.</w:t>
      </w:r>
    </w:p>
    <w:p w14:paraId="27ED3CC3" w14:textId="56736CC9" w:rsidR="002957F4" w:rsidRPr="001770C8" w:rsidRDefault="002957F4" w:rsidP="00837126">
      <w:pPr>
        <w:spacing w:before="120" w:line="276" w:lineRule="auto"/>
        <w:ind w:firstLine="720"/>
        <w:jc w:val="both"/>
        <w:rPr>
          <w:spacing w:val="-2"/>
        </w:rPr>
      </w:pPr>
      <w:r w:rsidRPr="001770C8">
        <w:rPr>
          <w:spacing w:val="-2"/>
        </w:rPr>
        <w:t>2. Chi phí quản lý (C</w:t>
      </w:r>
      <w:r w:rsidRPr="001770C8">
        <w:rPr>
          <w:spacing w:val="-2"/>
          <w:vertAlign w:val="subscript"/>
        </w:rPr>
        <w:t>ql</w:t>
      </w:r>
      <w:r w:rsidRPr="001770C8">
        <w:rPr>
          <w:spacing w:val="-2"/>
        </w:rPr>
        <w:t xml:space="preserve">) bao gồm các chi phí </w:t>
      </w:r>
      <w:r w:rsidR="00921EC3" w:rsidRPr="001770C8">
        <w:rPr>
          <w:spacing w:val="-2"/>
        </w:rPr>
        <w:t xml:space="preserve">liên quan đến hoạt động của </w:t>
      </w:r>
      <w:r w:rsidRPr="001770C8">
        <w:rPr>
          <w:spacing w:val="-2"/>
        </w:rPr>
        <w:t>bộ phận quản lý, điều hành tổ chức tư vấn</w:t>
      </w:r>
      <w:r w:rsidR="00F06975" w:rsidRPr="001770C8">
        <w:rPr>
          <w:spacing w:val="-2"/>
        </w:rPr>
        <w:t xml:space="preserve"> (</w:t>
      </w:r>
      <w:r w:rsidRPr="001770C8">
        <w:rPr>
          <w:spacing w:val="-2"/>
        </w:rPr>
        <w:t>tiền lương của bộ phận quản lý</w:t>
      </w:r>
      <w:r w:rsidR="008856AD" w:rsidRPr="001770C8">
        <w:rPr>
          <w:spacing w:val="-2"/>
        </w:rPr>
        <w:t>)</w:t>
      </w:r>
      <w:r w:rsidRPr="001770C8">
        <w:rPr>
          <w:spacing w:val="-2"/>
        </w:rPr>
        <w:t>, chi phí duy trì hoạt động của tổ chức tư vấn; chi phí văn phòng làm việc; chi phí xã hội</w:t>
      </w:r>
      <w:r w:rsidR="00C42B3C" w:rsidRPr="001770C8">
        <w:rPr>
          <w:spacing w:val="-2"/>
        </w:rPr>
        <w:t xml:space="preserve"> (</w:t>
      </w:r>
      <w:r w:rsidR="008856AD" w:rsidRPr="001770C8">
        <w:rPr>
          <w:spacing w:val="-2"/>
        </w:rPr>
        <w:t>đóng quỹ bảo hiểm xã hội</w:t>
      </w:r>
      <w:r w:rsidR="00C42B3C" w:rsidRPr="001770C8">
        <w:rPr>
          <w:spacing w:val="-2"/>
        </w:rPr>
        <w:t xml:space="preserve">, bảo hiểm </w:t>
      </w:r>
      <w:r w:rsidR="005E24CF" w:rsidRPr="001770C8">
        <w:rPr>
          <w:spacing w:val="-2"/>
        </w:rPr>
        <w:t>y</w:t>
      </w:r>
      <w:r w:rsidR="00C42B3C" w:rsidRPr="001770C8">
        <w:rPr>
          <w:spacing w:val="-2"/>
        </w:rPr>
        <w:t xml:space="preserve"> tế, bảo hiểm thất nghiệp,…</w:t>
      </w:r>
      <w:r w:rsidR="008856AD" w:rsidRPr="001770C8">
        <w:rPr>
          <w:spacing w:val="-2"/>
        </w:rPr>
        <w:t>theo quy định</w:t>
      </w:r>
      <w:r w:rsidR="00C42B3C" w:rsidRPr="001770C8">
        <w:rPr>
          <w:spacing w:val="-2"/>
        </w:rPr>
        <w:t xml:space="preserve"> thuộc trách nhiệm của tổ chức tư vấn)</w:t>
      </w:r>
      <w:r w:rsidRPr="001770C8">
        <w:rPr>
          <w:spacing w:val="-2"/>
        </w:rPr>
        <w:t xml:space="preserve">; mua bảo hiểm trách nhiệm nghề nghiệp và các khoản chi phí </w:t>
      </w:r>
      <w:r w:rsidR="00C42B3C" w:rsidRPr="001770C8">
        <w:rPr>
          <w:spacing w:val="-2"/>
        </w:rPr>
        <w:t xml:space="preserve">quản lý </w:t>
      </w:r>
      <w:r w:rsidRPr="001770C8">
        <w:rPr>
          <w:spacing w:val="-2"/>
        </w:rPr>
        <w:t>khác có liên quan</w:t>
      </w:r>
      <w:r w:rsidR="00C42B3C" w:rsidRPr="001770C8">
        <w:rPr>
          <w:spacing w:val="-2"/>
        </w:rPr>
        <w:t xml:space="preserve"> đến hoạt động của tổ chức tư vấn</w:t>
      </w:r>
      <w:r w:rsidRPr="001770C8">
        <w:rPr>
          <w:spacing w:val="-2"/>
        </w:rPr>
        <w:t xml:space="preserve">. </w:t>
      </w:r>
    </w:p>
    <w:p w14:paraId="5340D6CF" w14:textId="3E2A324C" w:rsidR="002957F4" w:rsidRPr="001770C8" w:rsidRDefault="002957F4" w:rsidP="00837126">
      <w:pPr>
        <w:widowControl w:val="0"/>
        <w:spacing w:before="120" w:line="276" w:lineRule="auto"/>
        <w:ind w:firstLine="720"/>
        <w:jc w:val="both"/>
      </w:pPr>
      <w:r w:rsidRPr="001770C8">
        <w:t xml:space="preserve">Chi phí quản lý xác định bằng tỷ lệ phần trăm (%) của chi phí chuyên gia, cụ thể </w:t>
      </w:r>
      <w:r w:rsidR="00FB612F" w:rsidRPr="001770C8">
        <w:t>tại</w:t>
      </w:r>
      <w:r w:rsidRPr="001770C8">
        <w:t xml:space="preserve"> Bảng 6.1:</w:t>
      </w:r>
    </w:p>
    <w:p w14:paraId="797DB875" w14:textId="77777777" w:rsidR="002957F4" w:rsidRPr="001770C8" w:rsidRDefault="002957F4" w:rsidP="001019BB">
      <w:pPr>
        <w:spacing w:before="40" w:after="120" w:line="276" w:lineRule="auto"/>
        <w:jc w:val="center"/>
        <w:rPr>
          <w:sz w:val="26"/>
          <w:szCs w:val="26"/>
        </w:rPr>
      </w:pPr>
      <w:r w:rsidRPr="001770C8">
        <w:t xml:space="preserve">Bảng 6.1: </w:t>
      </w:r>
      <w:r w:rsidRPr="001770C8">
        <w:rPr>
          <w:sz w:val="26"/>
          <w:szCs w:val="26"/>
        </w:rPr>
        <w:t>TỶ LỆ CHI PHÍ QUẢN LÝ</w:t>
      </w:r>
    </w:p>
    <w:tbl>
      <w:tblPr>
        <w:tblStyle w:val="TableGrid"/>
        <w:tblW w:w="0" w:type="auto"/>
        <w:jc w:val="center"/>
        <w:tblLook w:val="04A0" w:firstRow="1" w:lastRow="0" w:firstColumn="1" w:lastColumn="0" w:noHBand="0" w:noVBand="1"/>
      </w:tblPr>
      <w:tblGrid>
        <w:gridCol w:w="3525"/>
        <w:gridCol w:w="1554"/>
        <w:gridCol w:w="1554"/>
        <w:gridCol w:w="1554"/>
      </w:tblGrid>
      <w:tr w:rsidR="001770C8" w:rsidRPr="001770C8" w14:paraId="5EFF16D6" w14:textId="77777777" w:rsidTr="001019BB">
        <w:trPr>
          <w:jc w:val="center"/>
        </w:trPr>
        <w:tc>
          <w:tcPr>
            <w:tcW w:w="3525" w:type="dxa"/>
            <w:vAlign w:val="center"/>
          </w:tcPr>
          <w:p w14:paraId="671A6AF8" w14:textId="77777777" w:rsidR="002957F4" w:rsidRPr="001770C8" w:rsidRDefault="002957F4" w:rsidP="00996678">
            <w:pPr>
              <w:spacing w:before="40" w:after="40" w:line="276" w:lineRule="auto"/>
              <w:jc w:val="center"/>
              <w:rPr>
                <w:sz w:val="26"/>
                <w:szCs w:val="26"/>
              </w:rPr>
            </w:pPr>
            <w:r w:rsidRPr="001770C8">
              <w:rPr>
                <w:sz w:val="26"/>
                <w:szCs w:val="26"/>
              </w:rPr>
              <w:t>Chi phí chuyên gia (tỷ đồng)</w:t>
            </w:r>
          </w:p>
        </w:tc>
        <w:tc>
          <w:tcPr>
            <w:tcW w:w="1554" w:type="dxa"/>
            <w:vAlign w:val="center"/>
          </w:tcPr>
          <w:p w14:paraId="7B869FB4" w14:textId="77777777" w:rsidR="002957F4" w:rsidRPr="001770C8" w:rsidRDefault="002957F4" w:rsidP="00996678">
            <w:pPr>
              <w:spacing w:before="40" w:after="40" w:line="276" w:lineRule="auto"/>
              <w:jc w:val="center"/>
              <w:rPr>
                <w:sz w:val="26"/>
                <w:szCs w:val="26"/>
              </w:rPr>
            </w:pPr>
            <w:r w:rsidRPr="001770C8">
              <w:rPr>
                <w:sz w:val="26"/>
                <w:szCs w:val="26"/>
              </w:rPr>
              <w:t>&lt; 1</w:t>
            </w:r>
          </w:p>
        </w:tc>
        <w:tc>
          <w:tcPr>
            <w:tcW w:w="1554" w:type="dxa"/>
          </w:tcPr>
          <w:p w14:paraId="76A9C701" w14:textId="77777777" w:rsidR="002957F4" w:rsidRPr="001770C8" w:rsidRDefault="002957F4" w:rsidP="00996678">
            <w:pPr>
              <w:spacing w:before="40" w:after="40" w:line="276" w:lineRule="auto"/>
              <w:jc w:val="center"/>
              <w:rPr>
                <w:sz w:val="26"/>
                <w:szCs w:val="26"/>
              </w:rPr>
            </w:pPr>
            <w:r w:rsidRPr="001770C8">
              <w:rPr>
                <w:sz w:val="26"/>
                <w:szCs w:val="26"/>
              </w:rPr>
              <w:t>1 ÷ &lt; 5</w:t>
            </w:r>
          </w:p>
        </w:tc>
        <w:tc>
          <w:tcPr>
            <w:tcW w:w="1554" w:type="dxa"/>
          </w:tcPr>
          <w:p w14:paraId="6A447310" w14:textId="77777777" w:rsidR="002957F4" w:rsidRPr="001770C8" w:rsidRDefault="002957F4" w:rsidP="00996678">
            <w:pPr>
              <w:spacing w:before="40" w:after="40" w:line="276" w:lineRule="auto"/>
              <w:jc w:val="center"/>
              <w:rPr>
                <w:sz w:val="26"/>
                <w:szCs w:val="26"/>
              </w:rPr>
            </w:pPr>
            <w:r w:rsidRPr="001770C8">
              <w:rPr>
                <w:rFonts w:eastAsia="Gungsuh"/>
                <w:sz w:val="26"/>
                <w:szCs w:val="26"/>
              </w:rPr>
              <w:t>≥ 5</w:t>
            </w:r>
          </w:p>
        </w:tc>
      </w:tr>
      <w:tr w:rsidR="001770C8" w:rsidRPr="001770C8" w14:paraId="096B7F2B" w14:textId="77777777" w:rsidTr="001019BB">
        <w:trPr>
          <w:trHeight w:val="292"/>
          <w:jc w:val="center"/>
        </w:trPr>
        <w:tc>
          <w:tcPr>
            <w:tcW w:w="3525" w:type="dxa"/>
            <w:vAlign w:val="center"/>
          </w:tcPr>
          <w:p w14:paraId="7B1BEA67" w14:textId="77777777" w:rsidR="002957F4" w:rsidRPr="001770C8" w:rsidRDefault="002957F4" w:rsidP="00996678">
            <w:pPr>
              <w:spacing w:before="40" w:after="40" w:line="276" w:lineRule="auto"/>
              <w:jc w:val="center"/>
              <w:rPr>
                <w:sz w:val="26"/>
                <w:szCs w:val="26"/>
              </w:rPr>
            </w:pPr>
            <w:r w:rsidRPr="001770C8">
              <w:rPr>
                <w:sz w:val="26"/>
                <w:szCs w:val="26"/>
              </w:rPr>
              <w:t>Chi phí quản lý (tỷ lệ %)</w:t>
            </w:r>
          </w:p>
        </w:tc>
        <w:tc>
          <w:tcPr>
            <w:tcW w:w="1554" w:type="dxa"/>
            <w:vAlign w:val="center"/>
          </w:tcPr>
          <w:p w14:paraId="78FC6960" w14:textId="77777777" w:rsidR="002957F4" w:rsidRPr="001770C8" w:rsidRDefault="002957F4" w:rsidP="00996678">
            <w:pPr>
              <w:spacing w:before="40" w:after="40" w:line="276" w:lineRule="auto"/>
              <w:jc w:val="center"/>
              <w:rPr>
                <w:sz w:val="26"/>
                <w:szCs w:val="26"/>
              </w:rPr>
            </w:pPr>
            <w:r w:rsidRPr="001770C8">
              <w:rPr>
                <w:sz w:val="26"/>
                <w:szCs w:val="26"/>
              </w:rPr>
              <w:t>55</w:t>
            </w:r>
          </w:p>
        </w:tc>
        <w:tc>
          <w:tcPr>
            <w:tcW w:w="1554" w:type="dxa"/>
          </w:tcPr>
          <w:p w14:paraId="066380BD" w14:textId="77777777" w:rsidR="002957F4" w:rsidRPr="001770C8" w:rsidRDefault="002957F4" w:rsidP="00996678">
            <w:pPr>
              <w:spacing w:before="40" w:after="40" w:line="276" w:lineRule="auto"/>
              <w:jc w:val="center"/>
              <w:rPr>
                <w:sz w:val="26"/>
                <w:szCs w:val="26"/>
              </w:rPr>
            </w:pPr>
            <w:r w:rsidRPr="001770C8">
              <w:rPr>
                <w:sz w:val="26"/>
                <w:szCs w:val="26"/>
              </w:rPr>
              <w:t>50</w:t>
            </w:r>
          </w:p>
        </w:tc>
        <w:tc>
          <w:tcPr>
            <w:tcW w:w="1554" w:type="dxa"/>
          </w:tcPr>
          <w:p w14:paraId="324E85B0" w14:textId="77777777" w:rsidR="002957F4" w:rsidRPr="001770C8" w:rsidRDefault="002957F4" w:rsidP="00996678">
            <w:pPr>
              <w:spacing w:before="40" w:after="40" w:line="276" w:lineRule="auto"/>
              <w:jc w:val="center"/>
              <w:rPr>
                <w:sz w:val="26"/>
                <w:szCs w:val="26"/>
              </w:rPr>
            </w:pPr>
            <w:r w:rsidRPr="001770C8">
              <w:rPr>
                <w:sz w:val="26"/>
                <w:szCs w:val="26"/>
              </w:rPr>
              <w:t>45</w:t>
            </w:r>
          </w:p>
        </w:tc>
      </w:tr>
    </w:tbl>
    <w:p w14:paraId="2B3A9C75" w14:textId="77777777" w:rsidR="00207F0F" w:rsidRPr="00207F0F" w:rsidRDefault="00207F0F" w:rsidP="00837126">
      <w:pPr>
        <w:widowControl w:val="0"/>
        <w:spacing w:before="120" w:line="276" w:lineRule="auto"/>
        <w:ind w:firstLine="720"/>
        <w:jc w:val="both"/>
        <w:rPr>
          <w:sz w:val="16"/>
          <w:szCs w:val="16"/>
        </w:rPr>
      </w:pPr>
    </w:p>
    <w:p w14:paraId="7BFA3A02" w14:textId="1AAEA97B" w:rsidR="002957F4" w:rsidRPr="001770C8" w:rsidRDefault="002957F4" w:rsidP="00837126">
      <w:pPr>
        <w:widowControl w:val="0"/>
        <w:spacing w:before="120" w:line="276" w:lineRule="auto"/>
        <w:ind w:firstLine="720"/>
        <w:jc w:val="both"/>
      </w:pPr>
      <w:r w:rsidRPr="001770C8">
        <w:t>3. Chi phí khác (C</w:t>
      </w:r>
      <w:r w:rsidRPr="001770C8">
        <w:rPr>
          <w:vertAlign w:val="subscript"/>
        </w:rPr>
        <w:t>k</w:t>
      </w:r>
      <w:r w:rsidRPr="001770C8">
        <w:t>) bao gồm: chi phí đi lại, lưu trú (nếu có); chi phí văn phòng phẩm</w:t>
      </w:r>
      <w:r w:rsidR="00C210FB" w:rsidRPr="001770C8">
        <w:t>, thông tin, liên lạc</w:t>
      </w:r>
      <w:r w:rsidRPr="001770C8">
        <w:t>; chi phí khấu hao thiết bị; chi phí ứng dụng khoa học công nghệ, quản lý hệ thống thông tin công trình; chi phí hội nghị, hội thảo và các khoản chi phí khác (nếu có). Các khoản chi phí này xác định trên cơ sở dự kiến nhu cầu cần thiết của từng loại công việc tư vấn.</w:t>
      </w:r>
    </w:p>
    <w:p w14:paraId="49905111" w14:textId="77777777" w:rsidR="002957F4" w:rsidRPr="001770C8" w:rsidRDefault="002957F4" w:rsidP="00837126">
      <w:pPr>
        <w:widowControl w:val="0"/>
        <w:spacing w:before="120" w:line="276" w:lineRule="auto"/>
        <w:ind w:firstLine="720"/>
        <w:jc w:val="both"/>
      </w:pPr>
      <w:r w:rsidRPr="001770C8">
        <w:t xml:space="preserve">4. Thu nhập chịu thuế tính trước (TL) để dự tính khoản chi phí đảm bảo sự phát triển của tổ chức tư vấn trong quá trình hoạt động sản xuất kinh doanh. </w:t>
      </w:r>
      <w:r w:rsidRPr="001770C8">
        <w:lastRenderedPageBreak/>
        <w:t>Thu nhập chịu thuế tính trước xác định bằng 6% trên tổng chi phí chuyên gia và chi phí quản lý.</w:t>
      </w:r>
    </w:p>
    <w:p w14:paraId="4082DA35" w14:textId="77777777" w:rsidR="002957F4" w:rsidRPr="001770C8" w:rsidRDefault="002957F4" w:rsidP="005328AE">
      <w:pPr>
        <w:widowControl w:val="0"/>
        <w:spacing w:before="120" w:after="140" w:line="276" w:lineRule="auto"/>
        <w:ind w:firstLine="720"/>
        <w:jc w:val="both"/>
      </w:pPr>
      <w:r w:rsidRPr="001770C8">
        <w:t>5. Thuế giá trị gia tăng (GTGT) được xác định theo quy định đối với từng loại công việc tư vấn.</w:t>
      </w:r>
    </w:p>
    <w:p w14:paraId="76FA05B5" w14:textId="77777777" w:rsidR="002957F4" w:rsidRPr="001770C8" w:rsidRDefault="002957F4" w:rsidP="005328AE">
      <w:pPr>
        <w:widowControl w:val="0"/>
        <w:spacing w:before="120" w:after="140" w:line="276" w:lineRule="auto"/>
        <w:ind w:firstLine="720"/>
        <w:jc w:val="both"/>
      </w:pPr>
      <w:r w:rsidRPr="001770C8">
        <w:t>6. Chi phí dự phòng (C</w:t>
      </w:r>
      <w:r w:rsidRPr="001770C8">
        <w:rPr>
          <w:vertAlign w:val="subscript"/>
        </w:rPr>
        <w:t>dp</w:t>
      </w:r>
      <w:r w:rsidRPr="001770C8">
        <w:t>) để dự tính chi phí cho những công việc phát sinh trong quá trình thực hiện công việc tư vấn.</w:t>
      </w:r>
    </w:p>
    <w:p w14:paraId="70B9E484" w14:textId="77777777" w:rsidR="002957F4" w:rsidRPr="001770C8" w:rsidRDefault="002957F4" w:rsidP="005328AE">
      <w:pPr>
        <w:widowControl w:val="0"/>
        <w:spacing w:before="120" w:after="140" w:line="276" w:lineRule="auto"/>
        <w:ind w:firstLine="720"/>
        <w:jc w:val="both"/>
      </w:pPr>
      <w:r w:rsidRPr="001770C8">
        <w:t>- Chi phí dự phòng của dự toán chi phí tư vấn trong tổng mức đầu tư được xác định tối đa không quá 10% tổng của các khoản chi phí nêu trên.</w:t>
      </w:r>
    </w:p>
    <w:p w14:paraId="26808E38" w14:textId="585497FC" w:rsidR="002957F4" w:rsidRPr="001770C8" w:rsidRDefault="002957F4" w:rsidP="005328AE">
      <w:pPr>
        <w:widowControl w:val="0"/>
        <w:spacing w:before="120" w:after="140" w:line="276" w:lineRule="auto"/>
        <w:ind w:firstLine="720"/>
        <w:jc w:val="both"/>
      </w:pPr>
      <w:r w:rsidRPr="001770C8">
        <w:t xml:space="preserve">- Chi phí dự phòng của dự toán chi phí tư vấn trong dự toán xây dựng xác định tối đa không quá </w:t>
      </w:r>
      <w:r w:rsidRPr="001770C8">
        <w:rPr>
          <w:lang w:val="vi-VN"/>
        </w:rPr>
        <w:t>5</w:t>
      </w:r>
      <w:r w:rsidRPr="001770C8">
        <w:t>% tổng của các khoản chi phí nêu trên.</w:t>
      </w:r>
    </w:p>
    <w:p w14:paraId="2CDCD456" w14:textId="77777777" w:rsidR="002957F4" w:rsidRPr="00C82F23" w:rsidRDefault="002957F4" w:rsidP="005328AE">
      <w:pPr>
        <w:widowControl w:val="0"/>
        <w:spacing w:before="120" w:after="140" w:line="276" w:lineRule="auto"/>
        <w:ind w:firstLine="720"/>
        <w:jc w:val="both"/>
        <w:rPr>
          <w:b/>
          <w:sz w:val="26"/>
          <w:szCs w:val="26"/>
        </w:rPr>
      </w:pPr>
      <w:r w:rsidRPr="00C82F23">
        <w:rPr>
          <w:b/>
          <w:sz w:val="26"/>
          <w:szCs w:val="26"/>
        </w:rPr>
        <w:t>III. XÁC ĐỊNH DỰ TOÁN CHI PHÍ THUÊ TƯ VẤN NƯỚC NGOÀI</w:t>
      </w:r>
    </w:p>
    <w:p w14:paraId="2ECAA07D" w14:textId="77777777" w:rsidR="002957F4" w:rsidRPr="001770C8" w:rsidRDefault="002957F4" w:rsidP="005328AE">
      <w:pPr>
        <w:widowControl w:val="0"/>
        <w:spacing w:before="120" w:after="140" w:line="276" w:lineRule="auto"/>
        <w:ind w:firstLine="720"/>
        <w:jc w:val="both"/>
      </w:pPr>
      <w:r w:rsidRPr="001770C8">
        <w:t>Dự toán chi phí tư vấn gồm các khoản chi phí: chi phí chuyên gia (C</w:t>
      </w:r>
      <w:r w:rsidRPr="001770C8">
        <w:rPr>
          <w:vertAlign w:val="subscript"/>
        </w:rPr>
        <w:t>cg</w:t>
      </w:r>
      <w:r w:rsidRPr="001770C8">
        <w:t>); chi phí quản lý (C</w:t>
      </w:r>
      <w:r w:rsidRPr="001770C8">
        <w:rPr>
          <w:vertAlign w:val="subscript"/>
        </w:rPr>
        <w:t>ql</w:t>
      </w:r>
      <w:r w:rsidRPr="001770C8">
        <w:t>); chi phí khác (C</w:t>
      </w:r>
      <w:r w:rsidRPr="001770C8">
        <w:rPr>
          <w:vertAlign w:val="subscript"/>
        </w:rPr>
        <w:t>k</w:t>
      </w:r>
      <w:r w:rsidRPr="001770C8">
        <w:t>); thu nhập chịu thuế tính trước (TL); thuế (T) và chi phí dự phòng (C</w:t>
      </w:r>
      <w:r w:rsidRPr="001770C8">
        <w:rPr>
          <w:vertAlign w:val="subscript"/>
        </w:rPr>
        <w:t>dp</w:t>
      </w:r>
      <w:r w:rsidRPr="001770C8">
        <w:t>).</w:t>
      </w:r>
    </w:p>
    <w:p w14:paraId="2E7BAC8F" w14:textId="77777777" w:rsidR="002957F4" w:rsidRPr="001770C8" w:rsidRDefault="002957F4" w:rsidP="005328AE">
      <w:pPr>
        <w:widowControl w:val="0"/>
        <w:spacing w:before="120" w:after="140" w:line="276" w:lineRule="auto"/>
        <w:ind w:firstLine="720"/>
        <w:jc w:val="both"/>
      </w:pPr>
      <w:r w:rsidRPr="001770C8">
        <w:t>1. Chi phí chuyên gia (C</w:t>
      </w:r>
      <w:r w:rsidRPr="001770C8">
        <w:rPr>
          <w:vertAlign w:val="subscript"/>
        </w:rPr>
        <w:t>cg</w:t>
      </w:r>
      <w:r w:rsidRPr="001770C8">
        <w:t>): xác định theo số lượng chuyên gia, thời gian làm việc của chuyên gia (số lượng tháng-người, ngày-người hoặc giờ-người) và tiền lương của chuyên gia tư vấn.</w:t>
      </w:r>
    </w:p>
    <w:p w14:paraId="5997B8EC" w14:textId="77777777" w:rsidR="002957F4" w:rsidRPr="001770C8" w:rsidRDefault="002957F4" w:rsidP="005328AE">
      <w:pPr>
        <w:widowControl w:val="0"/>
        <w:spacing w:before="120" w:after="140" w:line="276" w:lineRule="auto"/>
        <w:ind w:firstLine="720"/>
        <w:jc w:val="both"/>
      </w:pPr>
      <w:r w:rsidRPr="001770C8">
        <w:t>a) Số lượng chuyên gia, thời gian làm việc của chuyên gia (gồm các kỹ sư, kiến trúc sư, chuyên gia, kỹ thuật viên…) xác định theo hướng dẫn tại điểm a khoản 1 mục II Phụ lục này.</w:t>
      </w:r>
    </w:p>
    <w:p w14:paraId="2C9E20CF" w14:textId="77777777" w:rsidR="002957F4" w:rsidRPr="001770C8" w:rsidRDefault="002957F4" w:rsidP="005328AE">
      <w:pPr>
        <w:widowControl w:val="0"/>
        <w:spacing w:before="120" w:after="140" w:line="276" w:lineRule="auto"/>
        <w:ind w:firstLine="720"/>
        <w:jc w:val="both"/>
      </w:pPr>
      <w:r w:rsidRPr="001770C8">
        <w:t>b) Tiền lương chuyên gia tư vấn: xác định trên cơ sở tham khảo mức lương được các tổ chức quốc tế, hiệp hội công bố; hoặc mức lương của các hợp đồng thuê tư vấn nước ngoài thực hiện các công việc tư vấn có tính chất tương tự tại Việt Nam; hoặc các nguồn tham khảo khác phù hợp với mặt bằng tiền lương tư vấn trong khu vực, quốc gia mà chuyên gia tư vấn đăng ký quốc tịch và trên thế giới, tương ứng với trình độ, kinh nghiệm của chuyên gia.</w:t>
      </w:r>
    </w:p>
    <w:p w14:paraId="495D6E54" w14:textId="77777777" w:rsidR="002957F4" w:rsidRPr="001770C8" w:rsidRDefault="002957F4" w:rsidP="005328AE">
      <w:pPr>
        <w:widowControl w:val="0"/>
        <w:spacing w:before="120" w:after="140" w:line="276" w:lineRule="auto"/>
        <w:ind w:firstLine="720"/>
        <w:jc w:val="both"/>
      </w:pPr>
      <w:r w:rsidRPr="001770C8">
        <w:t>Tiền lương chuyên gia tư vấn đã bao gồm các khoản lương, phụ cấp lương (như phụ cấp làm việc quốc tế, phụ cấp xa gia đình và các khoản phụ cấp khác (nếu có)), chi phí xã hội liên quan đến trách nhiệm đóng góp quỹ bảo hiểm xã hội theo quy định của quốc gia dự kiến thuê tư vấn. Các khoản phụ cấp lương, chi phí xã hội được xác định bằng tỷ lệ phần trăm (%).</w:t>
      </w:r>
    </w:p>
    <w:p w14:paraId="205E7126" w14:textId="77777777" w:rsidR="002957F4" w:rsidRPr="001770C8" w:rsidRDefault="002957F4" w:rsidP="005328AE">
      <w:pPr>
        <w:widowControl w:val="0"/>
        <w:spacing w:before="120" w:after="140" w:line="276" w:lineRule="auto"/>
        <w:ind w:firstLine="720"/>
        <w:jc w:val="both"/>
      </w:pPr>
      <w:r w:rsidRPr="001770C8">
        <w:t>2. Chi phí quản lý (C</w:t>
      </w:r>
      <w:r w:rsidRPr="001770C8">
        <w:rPr>
          <w:vertAlign w:val="subscript"/>
        </w:rPr>
        <w:t>ql</w:t>
      </w:r>
      <w:r w:rsidRPr="001770C8">
        <w:t xml:space="preserve">): Là khoản chi tiền lương cho bộ phận quản lý, nhân viên giúp việc; khoản chi phí liên quan đến trách nhiệm đóng quỹ bảo hiểm xã hội, bảo hiểm y tế, bảo hiểm thất nghiệp; bảo hiểm trách nhiệm nghề </w:t>
      </w:r>
      <w:r w:rsidRPr="001770C8">
        <w:lastRenderedPageBreak/>
        <w:t xml:space="preserve">nghiệp (nếu có) và một số khoản chi phí quản lý khác liên quan đến hoạt động của tổ chức tư vấn phù hợp với thông lệ quốc tế và quy định của từng quốc gia (trường hợp đã xác định được quốc gia dự kiến thuê tư vấn). </w:t>
      </w:r>
    </w:p>
    <w:p w14:paraId="6227701B" w14:textId="77777777" w:rsidR="002957F4" w:rsidRPr="001770C8" w:rsidRDefault="002957F4" w:rsidP="005328AE">
      <w:pPr>
        <w:widowControl w:val="0"/>
        <w:spacing w:before="120" w:after="140" w:line="276" w:lineRule="auto"/>
        <w:ind w:firstLine="720"/>
        <w:jc w:val="both"/>
      </w:pPr>
      <w:r w:rsidRPr="001770C8">
        <w:t>Chi phí quản lý xác định bằng tỷ lệ phần trăm (%) trên chi phí chuyên gia tư vấn. Mức tỷ lệ này được xác định trên cơ sở tham khảo thông lệ quốc tế, hoặc theo chính sách công bố của quốc gia dự kiến thuê tư vấn; hoặc có thể tham khảo các hợp đồng thuê nhà thầu tư vấn nước ngoài có tính chất tương tự đã thực hiện.</w:t>
      </w:r>
    </w:p>
    <w:p w14:paraId="1E04A995" w14:textId="77777777" w:rsidR="002957F4" w:rsidRPr="001770C8" w:rsidRDefault="002957F4" w:rsidP="005328AE">
      <w:pPr>
        <w:widowControl w:val="0"/>
        <w:spacing w:before="120" w:after="140" w:line="276" w:lineRule="auto"/>
        <w:ind w:firstLine="720"/>
        <w:jc w:val="both"/>
      </w:pPr>
      <w:r w:rsidRPr="001770C8">
        <w:t>3. Chi phí khác (C</w:t>
      </w:r>
      <w:r w:rsidRPr="001770C8">
        <w:rPr>
          <w:vertAlign w:val="subscript"/>
        </w:rPr>
        <w:t>k</w:t>
      </w:r>
      <w:r w:rsidRPr="001770C8">
        <w:t>).</w:t>
      </w:r>
    </w:p>
    <w:p w14:paraId="33EA7094" w14:textId="77777777" w:rsidR="002957F4" w:rsidRPr="001770C8" w:rsidRDefault="002957F4" w:rsidP="005328AE">
      <w:pPr>
        <w:widowControl w:val="0"/>
        <w:spacing w:before="120" w:after="140" w:line="276" w:lineRule="auto"/>
        <w:ind w:firstLine="720"/>
        <w:jc w:val="both"/>
      </w:pPr>
      <w:r w:rsidRPr="001770C8">
        <w:t>Tùy theo điều kiện, yêu cầu công việc tư vấn, các khoản chi phí khác, bao gồm một hoặc một số nội dung chi phí sau:</w:t>
      </w:r>
    </w:p>
    <w:p w14:paraId="43EDA120" w14:textId="77777777" w:rsidR="002957F4" w:rsidRPr="001770C8" w:rsidRDefault="002957F4" w:rsidP="005328AE">
      <w:pPr>
        <w:widowControl w:val="0"/>
        <w:spacing w:before="120" w:after="140" w:line="276" w:lineRule="auto"/>
        <w:ind w:firstLine="720"/>
        <w:jc w:val="both"/>
      </w:pPr>
      <w:r w:rsidRPr="001770C8">
        <w:t>a) Chi phí đi lại, lưu trú (nếu có): được xác định trên cơ sở dự kiến loại phương tiện sử dụng, số lượng và thời gian (tháng, ngày) phù hợp với yêu cầu thực hiện nhiệm vụ tư vấn, giá thuê các phương tiện, giá thuê nhà ở (hoặc thuê khách sạn) căn cứ trên cơ sở giá thị trường. Giá vé máy bay được dự tính trên cơ sở giá thị trường hạng phổ thông và phù hợp với tuyến bay dự kiến.</w:t>
      </w:r>
    </w:p>
    <w:p w14:paraId="0E4B2DC8" w14:textId="77777777" w:rsidR="002957F4" w:rsidRPr="001770C8" w:rsidRDefault="002957F4" w:rsidP="005328AE">
      <w:pPr>
        <w:widowControl w:val="0"/>
        <w:spacing w:before="120" w:after="140" w:line="276" w:lineRule="auto"/>
        <w:ind w:firstLine="720"/>
        <w:jc w:val="both"/>
      </w:pPr>
      <w:r w:rsidRPr="001770C8">
        <w:t>b) Chi phí thuê văn phòng làm việc (đối với trường hợp phải thuê văn phòng làm việc tại Việt Nam): xác định trên cơ sở dự kiến diện tích văn phòng cần thiết để bố trí chỗ làm việc của chuyên gia tư vấn, thời gian thực hiện công việc tư vấn và giá thuê văn phòng làm việc (mức trung bình) trên thị trường.</w:t>
      </w:r>
    </w:p>
    <w:p w14:paraId="75280D5F" w14:textId="77777777" w:rsidR="002957F4" w:rsidRPr="001770C8" w:rsidRDefault="002957F4" w:rsidP="005328AE">
      <w:pPr>
        <w:widowControl w:val="0"/>
        <w:spacing w:before="120" w:after="140" w:line="276" w:lineRule="auto"/>
        <w:ind w:firstLine="720"/>
        <w:jc w:val="both"/>
      </w:pPr>
      <w:r w:rsidRPr="001770C8">
        <w:t>c) Chi phí thông tin liên lạc (điện thoại, fax, internet, bưu kiện…) trong nước và quốc tế (nếu có): xác định theo thời gian dự kiến thực hiện dịch vụ tư vấn và giá thị trường.</w:t>
      </w:r>
    </w:p>
    <w:p w14:paraId="1C95ECCD" w14:textId="77777777" w:rsidR="002957F4" w:rsidRPr="001770C8" w:rsidRDefault="002957F4" w:rsidP="005328AE">
      <w:pPr>
        <w:widowControl w:val="0"/>
        <w:spacing w:before="120" w:after="140" w:line="276" w:lineRule="auto"/>
        <w:ind w:firstLine="720"/>
        <w:jc w:val="both"/>
      </w:pPr>
      <w:r w:rsidRPr="001770C8">
        <w:t>d) Chi phí khấu hao thiết bị văn phòng (máy tính, máy in, photocopy, máy vẽ): xác định trên cơ sở số lượng thiết bị cần sử dụng, mức khấu hao theo quy định và giá các thiết bị này theo mặt bằng giá thị trường hoặc giá thuê (báo giá) thiết bị đáp ứng nhu cầu làm việc của tư vấn.</w:t>
      </w:r>
    </w:p>
    <w:p w14:paraId="3EAA2E8B" w14:textId="0E499B69" w:rsidR="002957F4" w:rsidRPr="001770C8" w:rsidRDefault="002957F4" w:rsidP="005328AE">
      <w:pPr>
        <w:widowControl w:val="0"/>
        <w:spacing w:before="120" w:after="140" w:line="276" w:lineRule="auto"/>
        <w:ind w:firstLine="720"/>
        <w:jc w:val="both"/>
      </w:pPr>
      <w:r w:rsidRPr="001770C8">
        <w:t xml:space="preserve">đ) Chi phí hội thảo, đào tạo (nếu có): xác định theo yêu cầu cần thiết để thực hiện công việc tư vấn. </w:t>
      </w:r>
    </w:p>
    <w:p w14:paraId="21C85B92" w14:textId="77777777" w:rsidR="002957F4" w:rsidRPr="001770C8" w:rsidRDefault="002957F4" w:rsidP="005328AE">
      <w:pPr>
        <w:widowControl w:val="0"/>
        <w:spacing w:before="120" w:after="140" w:line="276" w:lineRule="auto"/>
        <w:ind w:firstLine="720"/>
        <w:jc w:val="both"/>
      </w:pPr>
      <w:r w:rsidRPr="001770C8">
        <w:t>4. Thu nhập chịu thuế tính trước (TL): xác định theo hướng dẫn tại khoản 4 mục II Phụ lục này.</w:t>
      </w:r>
    </w:p>
    <w:p w14:paraId="1E6DB80C" w14:textId="77777777" w:rsidR="002957F4" w:rsidRPr="001770C8" w:rsidRDefault="002957F4" w:rsidP="005328AE">
      <w:pPr>
        <w:widowControl w:val="0"/>
        <w:spacing w:before="120" w:after="140" w:line="276" w:lineRule="auto"/>
        <w:ind w:firstLine="720"/>
        <w:jc w:val="both"/>
      </w:pPr>
      <w:r w:rsidRPr="001770C8">
        <w:t>5. Thuế (T): thực hiện theo hướng dẫn về chế độ thuế hiện hành của nhà nước Việt Nam áp dụng đối với tổ chức, cá nhân người nước ngoài kinh doanh tại Việt Nam và có thu nhập phát sinh tại Việt Nam (không tính khoản thuế thu nhập cá nhân trong dự toán).</w:t>
      </w:r>
    </w:p>
    <w:p w14:paraId="723A6D30" w14:textId="77777777" w:rsidR="002957F4" w:rsidRPr="001770C8" w:rsidRDefault="002957F4" w:rsidP="00837126">
      <w:pPr>
        <w:widowControl w:val="0"/>
        <w:spacing w:before="120" w:line="276" w:lineRule="auto"/>
        <w:ind w:firstLine="720"/>
        <w:jc w:val="both"/>
      </w:pPr>
      <w:r w:rsidRPr="001770C8">
        <w:lastRenderedPageBreak/>
        <w:t>6. Chi phí dự phòng (C</w:t>
      </w:r>
      <w:r w:rsidRPr="001770C8">
        <w:rPr>
          <w:vertAlign w:val="subscript"/>
        </w:rPr>
        <w:t>dp</w:t>
      </w:r>
      <w:r w:rsidRPr="001770C8">
        <w:t>): xác định theo hướng dẫn tại khoản 6 mục II Phụ lục này.</w:t>
      </w:r>
    </w:p>
    <w:p w14:paraId="467BB98E" w14:textId="77777777" w:rsidR="002957F4" w:rsidRPr="00C82F23" w:rsidRDefault="002957F4" w:rsidP="00837126">
      <w:pPr>
        <w:widowControl w:val="0"/>
        <w:spacing w:before="120" w:line="276" w:lineRule="auto"/>
        <w:ind w:firstLine="720"/>
        <w:jc w:val="both"/>
        <w:rPr>
          <w:b/>
          <w:sz w:val="26"/>
          <w:szCs w:val="26"/>
        </w:rPr>
      </w:pPr>
      <w:r w:rsidRPr="00C82F23">
        <w:rPr>
          <w:b/>
          <w:sz w:val="26"/>
          <w:szCs w:val="26"/>
        </w:rPr>
        <w:t>IV. TỔNG HỢP DỰ TOÁN CHI PHÍ TƯ VẤN</w:t>
      </w:r>
    </w:p>
    <w:p w14:paraId="138A64D0" w14:textId="77777777" w:rsidR="002957F4" w:rsidRPr="001770C8" w:rsidRDefault="002957F4" w:rsidP="00CB2170">
      <w:pPr>
        <w:widowControl w:val="0"/>
        <w:spacing w:before="200" w:after="40" w:line="276" w:lineRule="auto"/>
        <w:jc w:val="center"/>
        <w:rPr>
          <w:sz w:val="26"/>
          <w:szCs w:val="26"/>
        </w:rPr>
      </w:pPr>
      <w:r w:rsidRPr="001770C8">
        <w:t xml:space="preserve">Bảng 6.2: </w:t>
      </w:r>
      <w:r w:rsidRPr="001770C8">
        <w:rPr>
          <w:sz w:val="26"/>
          <w:szCs w:val="26"/>
        </w:rPr>
        <w:t>TỔNG HỢP DỰ TOÁN CHI PHÍ TƯ VẤN</w:t>
      </w:r>
    </w:p>
    <w:p w14:paraId="348DEA0D" w14:textId="77777777" w:rsidR="00AA7AF6" w:rsidRPr="001770C8" w:rsidRDefault="00AA7AF6" w:rsidP="00AA7AF6">
      <w:pPr>
        <w:spacing w:before="40" w:after="40" w:line="276" w:lineRule="auto"/>
        <w:jc w:val="both"/>
        <w:rPr>
          <w:sz w:val="26"/>
          <w:szCs w:val="26"/>
        </w:rPr>
      </w:pPr>
      <w:r w:rsidRPr="001770C8">
        <w:rPr>
          <w:sz w:val="26"/>
          <w:szCs w:val="26"/>
        </w:rPr>
        <w:t>Dự án: ...............................................................................................................................</w:t>
      </w:r>
    </w:p>
    <w:p w14:paraId="4358C665" w14:textId="77777777" w:rsidR="00AA7AF6" w:rsidRPr="001770C8" w:rsidRDefault="00AA7AF6" w:rsidP="00AA7AF6">
      <w:pPr>
        <w:spacing w:before="40" w:after="40" w:line="276" w:lineRule="auto"/>
        <w:jc w:val="both"/>
        <w:rPr>
          <w:sz w:val="26"/>
          <w:szCs w:val="26"/>
        </w:rPr>
      </w:pPr>
      <w:r w:rsidRPr="001770C8">
        <w:rPr>
          <w:sz w:val="26"/>
          <w:szCs w:val="26"/>
        </w:rPr>
        <w:t>Công trình: ........................................................................................................................</w:t>
      </w:r>
    </w:p>
    <w:p w14:paraId="3F4A4C70" w14:textId="77777777" w:rsidR="002957F4" w:rsidRPr="001770C8" w:rsidRDefault="002957F4" w:rsidP="002957F4">
      <w:pPr>
        <w:spacing w:before="40" w:after="120" w:line="276" w:lineRule="auto"/>
        <w:ind w:firstLine="697"/>
        <w:jc w:val="right"/>
        <w:rPr>
          <w:i/>
          <w:sz w:val="24"/>
          <w:szCs w:val="24"/>
        </w:rPr>
      </w:pPr>
      <w:r w:rsidRPr="001770C8">
        <w:rPr>
          <w:i/>
          <w:sz w:val="24"/>
          <w:szCs w:val="24"/>
        </w:rPr>
        <w:t>Đơn vị tính: …</w:t>
      </w:r>
    </w:p>
    <w:tbl>
      <w:tblPr>
        <w:tblStyle w:val="TableGrid"/>
        <w:tblW w:w="9547" w:type="dxa"/>
        <w:jc w:val="center"/>
        <w:tblLayout w:type="fixed"/>
        <w:tblLook w:val="04A0" w:firstRow="1" w:lastRow="0" w:firstColumn="1" w:lastColumn="0" w:noHBand="0" w:noVBand="1"/>
      </w:tblPr>
      <w:tblGrid>
        <w:gridCol w:w="680"/>
        <w:gridCol w:w="3434"/>
        <w:gridCol w:w="3656"/>
        <w:gridCol w:w="867"/>
        <w:gridCol w:w="910"/>
      </w:tblGrid>
      <w:tr w:rsidR="001770C8" w:rsidRPr="001770C8" w14:paraId="1C3C5854" w14:textId="77777777" w:rsidTr="007A6E7B">
        <w:trPr>
          <w:tblHeader/>
          <w:jc w:val="center"/>
        </w:trPr>
        <w:tc>
          <w:tcPr>
            <w:tcW w:w="680" w:type="dxa"/>
            <w:vAlign w:val="center"/>
          </w:tcPr>
          <w:p w14:paraId="20634C77" w14:textId="77777777" w:rsidR="002957F4" w:rsidRPr="001770C8" w:rsidRDefault="002957F4" w:rsidP="00996678">
            <w:pPr>
              <w:spacing w:before="20" w:after="20"/>
              <w:jc w:val="center"/>
              <w:rPr>
                <w:sz w:val="26"/>
                <w:szCs w:val="26"/>
              </w:rPr>
            </w:pPr>
            <w:r w:rsidRPr="001770C8">
              <w:rPr>
                <w:sz w:val="26"/>
                <w:szCs w:val="26"/>
              </w:rPr>
              <w:t>STT</w:t>
            </w:r>
          </w:p>
        </w:tc>
        <w:tc>
          <w:tcPr>
            <w:tcW w:w="3434" w:type="dxa"/>
            <w:vAlign w:val="center"/>
          </w:tcPr>
          <w:p w14:paraId="627C7964" w14:textId="77777777" w:rsidR="00DC7ADA" w:rsidRPr="001770C8" w:rsidRDefault="002957F4" w:rsidP="00996678">
            <w:pPr>
              <w:spacing w:before="20" w:after="20"/>
              <w:jc w:val="center"/>
              <w:rPr>
                <w:sz w:val="26"/>
                <w:szCs w:val="26"/>
              </w:rPr>
            </w:pPr>
            <w:r w:rsidRPr="001770C8">
              <w:rPr>
                <w:sz w:val="26"/>
                <w:szCs w:val="26"/>
              </w:rPr>
              <w:t xml:space="preserve">KHOẢN MỤC </w:t>
            </w:r>
          </w:p>
          <w:p w14:paraId="1C793AAA" w14:textId="5C49E10B" w:rsidR="002957F4" w:rsidRPr="001770C8" w:rsidRDefault="002957F4" w:rsidP="00996678">
            <w:pPr>
              <w:spacing w:before="20" w:after="20"/>
              <w:jc w:val="center"/>
              <w:rPr>
                <w:sz w:val="26"/>
                <w:szCs w:val="26"/>
              </w:rPr>
            </w:pPr>
            <w:r w:rsidRPr="001770C8">
              <w:rPr>
                <w:sz w:val="26"/>
                <w:szCs w:val="26"/>
              </w:rPr>
              <w:t>CHI PHÍ</w:t>
            </w:r>
          </w:p>
        </w:tc>
        <w:tc>
          <w:tcPr>
            <w:tcW w:w="3656" w:type="dxa"/>
            <w:vAlign w:val="center"/>
          </w:tcPr>
          <w:p w14:paraId="71CC3F88" w14:textId="77777777" w:rsidR="002957F4" w:rsidRPr="001770C8" w:rsidRDefault="002957F4" w:rsidP="00996678">
            <w:pPr>
              <w:spacing w:before="20" w:after="20"/>
              <w:jc w:val="center"/>
              <w:rPr>
                <w:sz w:val="26"/>
                <w:szCs w:val="26"/>
              </w:rPr>
            </w:pPr>
            <w:r w:rsidRPr="001770C8">
              <w:rPr>
                <w:sz w:val="26"/>
                <w:szCs w:val="26"/>
              </w:rPr>
              <w:t>CÁCH TÍNH</w:t>
            </w:r>
          </w:p>
        </w:tc>
        <w:tc>
          <w:tcPr>
            <w:tcW w:w="867" w:type="dxa"/>
            <w:vAlign w:val="center"/>
          </w:tcPr>
          <w:p w14:paraId="43AE31F4" w14:textId="77777777" w:rsidR="002957F4" w:rsidRPr="001770C8" w:rsidRDefault="002957F4" w:rsidP="00996678">
            <w:pPr>
              <w:spacing w:before="20" w:after="20"/>
              <w:jc w:val="center"/>
              <w:rPr>
                <w:sz w:val="26"/>
                <w:szCs w:val="26"/>
              </w:rPr>
            </w:pPr>
            <w:r w:rsidRPr="001770C8">
              <w:rPr>
                <w:sz w:val="26"/>
                <w:szCs w:val="26"/>
              </w:rPr>
              <w:t xml:space="preserve">GIÁ TRỊ </w:t>
            </w:r>
          </w:p>
        </w:tc>
        <w:tc>
          <w:tcPr>
            <w:tcW w:w="910" w:type="dxa"/>
            <w:vAlign w:val="center"/>
          </w:tcPr>
          <w:p w14:paraId="0CBF26B3" w14:textId="77777777" w:rsidR="002957F4" w:rsidRPr="001770C8" w:rsidRDefault="002957F4" w:rsidP="00996678">
            <w:pPr>
              <w:spacing w:before="20" w:after="20"/>
              <w:jc w:val="center"/>
              <w:rPr>
                <w:sz w:val="26"/>
                <w:szCs w:val="26"/>
              </w:rPr>
            </w:pPr>
            <w:r w:rsidRPr="001770C8">
              <w:rPr>
                <w:sz w:val="26"/>
                <w:szCs w:val="26"/>
              </w:rPr>
              <w:t>KÝ HIỆU</w:t>
            </w:r>
          </w:p>
        </w:tc>
      </w:tr>
      <w:tr w:rsidR="001770C8" w:rsidRPr="001770C8" w14:paraId="2A8760B9" w14:textId="77777777" w:rsidTr="007A6E7B">
        <w:trPr>
          <w:jc w:val="center"/>
        </w:trPr>
        <w:tc>
          <w:tcPr>
            <w:tcW w:w="680" w:type="dxa"/>
            <w:vAlign w:val="center"/>
          </w:tcPr>
          <w:p w14:paraId="521543F0" w14:textId="77777777" w:rsidR="002957F4" w:rsidRPr="001770C8" w:rsidRDefault="002957F4" w:rsidP="00996678">
            <w:pPr>
              <w:spacing w:before="20" w:after="20"/>
              <w:jc w:val="center"/>
              <w:rPr>
                <w:sz w:val="24"/>
                <w:szCs w:val="24"/>
              </w:rPr>
            </w:pPr>
            <w:r w:rsidRPr="001770C8">
              <w:rPr>
                <w:sz w:val="24"/>
                <w:szCs w:val="24"/>
              </w:rPr>
              <w:t>[1]</w:t>
            </w:r>
          </w:p>
        </w:tc>
        <w:tc>
          <w:tcPr>
            <w:tcW w:w="3434" w:type="dxa"/>
            <w:vAlign w:val="center"/>
          </w:tcPr>
          <w:p w14:paraId="14DC3B96" w14:textId="77777777" w:rsidR="002957F4" w:rsidRPr="001770C8" w:rsidRDefault="002957F4" w:rsidP="00996678">
            <w:pPr>
              <w:spacing w:before="20" w:after="20"/>
              <w:jc w:val="center"/>
              <w:rPr>
                <w:sz w:val="24"/>
                <w:szCs w:val="24"/>
              </w:rPr>
            </w:pPr>
            <w:r w:rsidRPr="001770C8">
              <w:rPr>
                <w:sz w:val="24"/>
                <w:szCs w:val="24"/>
              </w:rPr>
              <w:t>[2]</w:t>
            </w:r>
          </w:p>
        </w:tc>
        <w:tc>
          <w:tcPr>
            <w:tcW w:w="3656" w:type="dxa"/>
            <w:vAlign w:val="center"/>
          </w:tcPr>
          <w:p w14:paraId="5FE6A476" w14:textId="77777777" w:rsidR="002957F4" w:rsidRPr="001770C8" w:rsidRDefault="002957F4" w:rsidP="00996678">
            <w:pPr>
              <w:spacing w:before="20" w:after="20"/>
              <w:jc w:val="center"/>
              <w:rPr>
                <w:sz w:val="24"/>
                <w:szCs w:val="24"/>
              </w:rPr>
            </w:pPr>
            <w:r w:rsidRPr="001770C8">
              <w:rPr>
                <w:sz w:val="24"/>
                <w:szCs w:val="24"/>
              </w:rPr>
              <w:t>[3]</w:t>
            </w:r>
          </w:p>
        </w:tc>
        <w:tc>
          <w:tcPr>
            <w:tcW w:w="867" w:type="dxa"/>
            <w:vAlign w:val="center"/>
          </w:tcPr>
          <w:p w14:paraId="2E401AD6" w14:textId="77777777" w:rsidR="002957F4" w:rsidRPr="001770C8" w:rsidRDefault="002957F4" w:rsidP="00996678">
            <w:pPr>
              <w:spacing w:before="20" w:after="20"/>
              <w:jc w:val="center"/>
              <w:rPr>
                <w:sz w:val="24"/>
                <w:szCs w:val="24"/>
              </w:rPr>
            </w:pPr>
            <w:r w:rsidRPr="001770C8">
              <w:rPr>
                <w:sz w:val="24"/>
                <w:szCs w:val="24"/>
              </w:rPr>
              <w:t>[4]</w:t>
            </w:r>
          </w:p>
        </w:tc>
        <w:tc>
          <w:tcPr>
            <w:tcW w:w="910" w:type="dxa"/>
            <w:vAlign w:val="center"/>
          </w:tcPr>
          <w:p w14:paraId="6C5240A8" w14:textId="77777777" w:rsidR="002957F4" w:rsidRPr="001770C8" w:rsidRDefault="002957F4" w:rsidP="00996678">
            <w:pPr>
              <w:spacing w:before="20" w:after="20"/>
              <w:jc w:val="center"/>
              <w:rPr>
                <w:sz w:val="24"/>
                <w:szCs w:val="24"/>
              </w:rPr>
            </w:pPr>
            <w:r w:rsidRPr="001770C8">
              <w:rPr>
                <w:sz w:val="24"/>
                <w:szCs w:val="24"/>
              </w:rPr>
              <w:t>[5]</w:t>
            </w:r>
          </w:p>
        </w:tc>
      </w:tr>
      <w:tr w:rsidR="001770C8" w:rsidRPr="001770C8" w14:paraId="0FB68334" w14:textId="77777777" w:rsidTr="007A6E7B">
        <w:trPr>
          <w:jc w:val="center"/>
        </w:trPr>
        <w:tc>
          <w:tcPr>
            <w:tcW w:w="680" w:type="dxa"/>
            <w:vAlign w:val="center"/>
          </w:tcPr>
          <w:p w14:paraId="26965E11" w14:textId="77777777" w:rsidR="002957F4" w:rsidRPr="001770C8" w:rsidRDefault="002957F4" w:rsidP="00996678">
            <w:pPr>
              <w:spacing w:before="40" w:after="40"/>
              <w:jc w:val="center"/>
              <w:rPr>
                <w:sz w:val="26"/>
                <w:szCs w:val="26"/>
              </w:rPr>
            </w:pPr>
            <w:r w:rsidRPr="001770C8">
              <w:rPr>
                <w:sz w:val="26"/>
                <w:szCs w:val="26"/>
              </w:rPr>
              <w:t>1</w:t>
            </w:r>
          </w:p>
        </w:tc>
        <w:tc>
          <w:tcPr>
            <w:tcW w:w="3434" w:type="dxa"/>
            <w:vAlign w:val="center"/>
          </w:tcPr>
          <w:p w14:paraId="71A3893D" w14:textId="77777777" w:rsidR="002957F4" w:rsidRPr="001770C8" w:rsidRDefault="002957F4" w:rsidP="00996678">
            <w:pPr>
              <w:spacing w:before="40" w:after="40"/>
              <w:jc w:val="both"/>
              <w:rPr>
                <w:sz w:val="26"/>
                <w:szCs w:val="26"/>
              </w:rPr>
            </w:pPr>
            <w:r w:rsidRPr="001770C8">
              <w:rPr>
                <w:sz w:val="26"/>
                <w:szCs w:val="26"/>
              </w:rPr>
              <w:t>Chi phí chuyên gia</w:t>
            </w:r>
          </w:p>
        </w:tc>
        <w:tc>
          <w:tcPr>
            <w:tcW w:w="3656" w:type="dxa"/>
            <w:vAlign w:val="center"/>
          </w:tcPr>
          <w:p w14:paraId="29D4EBE9" w14:textId="77777777" w:rsidR="002957F4" w:rsidRPr="001770C8" w:rsidRDefault="002957F4" w:rsidP="00996678">
            <w:pPr>
              <w:spacing w:before="40" w:after="40"/>
              <w:rPr>
                <w:sz w:val="26"/>
                <w:szCs w:val="26"/>
              </w:rPr>
            </w:pPr>
            <w:r w:rsidRPr="001770C8">
              <w:rPr>
                <w:sz w:val="26"/>
                <w:szCs w:val="26"/>
              </w:rPr>
              <w:t xml:space="preserve"> </w:t>
            </w:r>
          </w:p>
        </w:tc>
        <w:tc>
          <w:tcPr>
            <w:tcW w:w="867" w:type="dxa"/>
            <w:vAlign w:val="center"/>
          </w:tcPr>
          <w:p w14:paraId="686B2222" w14:textId="77777777" w:rsidR="002957F4" w:rsidRPr="001770C8" w:rsidRDefault="002957F4" w:rsidP="00996678">
            <w:pPr>
              <w:spacing w:before="40" w:after="40"/>
              <w:jc w:val="center"/>
              <w:rPr>
                <w:sz w:val="26"/>
                <w:szCs w:val="26"/>
              </w:rPr>
            </w:pPr>
            <w:r w:rsidRPr="001770C8">
              <w:rPr>
                <w:sz w:val="26"/>
                <w:szCs w:val="26"/>
              </w:rPr>
              <w:t xml:space="preserve"> </w:t>
            </w:r>
          </w:p>
        </w:tc>
        <w:tc>
          <w:tcPr>
            <w:tcW w:w="910" w:type="dxa"/>
            <w:vAlign w:val="center"/>
          </w:tcPr>
          <w:p w14:paraId="7109600B" w14:textId="77777777" w:rsidR="002957F4" w:rsidRPr="001770C8" w:rsidRDefault="002957F4" w:rsidP="00996678">
            <w:pPr>
              <w:spacing w:before="40" w:after="40"/>
              <w:jc w:val="center"/>
              <w:rPr>
                <w:sz w:val="26"/>
                <w:szCs w:val="26"/>
                <w:vertAlign w:val="subscript"/>
              </w:rPr>
            </w:pPr>
            <w:r w:rsidRPr="001770C8">
              <w:rPr>
                <w:sz w:val="26"/>
                <w:szCs w:val="26"/>
              </w:rPr>
              <w:t>C</w:t>
            </w:r>
            <w:r w:rsidRPr="001770C8">
              <w:rPr>
                <w:sz w:val="26"/>
                <w:szCs w:val="26"/>
                <w:vertAlign w:val="subscript"/>
              </w:rPr>
              <w:t>cg</w:t>
            </w:r>
          </w:p>
        </w:tc>
      </w:tr>
      <w:tr w:rsidR="001770C8" w:rsidRPr="001770C8" w14:paraId="6B56CFF4" w14:textId="77777777" w:rsidTr="007A6E7B">
        <w:trPr>
          <w:jc w:val="center"/>
        </w:trPr>
        <w:tc>
          <w:tcPr>
            <w:tcW w:w="680" w:type="dxa"/>
            <w:vAlign w:val="center"/>
          </w:tcPr>
          <w:p w14:paraId="67D42972" w14:textId="77777777" w:rsidR="002957F4" w:rsidRPr="001770C8" w:rsidRDefault="002957F4" w:rsidP="00996678">
            <w:pPr>
              <w:spacing w:before="40" w:after="40"/>
              <w:jc w:val="center"/>
              <w:rPr>
                <w:sz w:val="26"/>
                <w:szCs w:val="26"/>
              </w:rPr>
            </w:pPr>
            <w:r w:rsidRPr="001770C8">
              <w:rPr>
                <w:sz w:val="26"/>
                <w:szCs w:val="26"/>
              </w:rPr>
              <w:t>2</w:t>
            </w:r>
          </w:p>
        </w:tc>
        <w:tc>
          <w:tcPr>
            <w:tcW w:w="3434" w:type="dxa"/>
            <w:vAlign w:val="center"/>
          </w:tcPr>
          <w:p w14:paraId="5146E629" w14:textId="77777777" w:rsidR="002957F4" w:rsidRPr="001770C8" w:rsidRDefault="002957F4" w:rsidP="00996678">
            <w:pPr>
              <w:spacing w:before="40" w:after="40"/>
              <w:jc w:val="both"/>
              <w:rPr>
                <w:sz w:val="26"/>
                <w:szCs w:val="26"/>
              </w:rPr>
            </w:pPr>
            <w:r w:rsidRPr="001770C8">
              <w:rPr>
                <w:sz w:val="26"/>
                <w:szCs w:val="26"/>
              </w:rPr>
              <w:t>Chi phí quản lý</w:t>
            </w:r>
          </w:p>
        </w:tc>
        <w:tc>
          <w:tcPr>
            <w:tcW w:w="3656" w:type="dxa"/>
            <w:vAlign w:val="center"/>
          </w:tcPr>
          <w:p w14:paraId="27F89461" w14:textId="77777777" w:rsidR="002957F4" w:rsidRPr="001770C8" w:rsidRDefault="002957F4" w:rsidP="00996678">
            <w:pPr>
              <w:spacing w:before="40" w:after="40"/>
              <w:jc w:val="center"/>
              <w:rPr>
                <w:sz w:val="26"/>
                <w:szCs w:val="26"/>
              </w:rPr>
            </w:pPr>
            <w:r w:rsidRPr="001770C8">
              <w:rPr>
                <w:sz w:val="26"/>
                <w:szCs w:val="26"/>
              </w:rPr>
              <w:t>C</w:t>
            </w:r>
            <w:r w:rsidRPr="001770C8">
              <w:rPr>
                <w:sz w:val="26"/>
                <w:szCs w:val="26"/>
                <w:vertAlign w:val="subscript"/>
              </w:rPr>
              <w:t>cg</w:t>
            </w:r>
            <w:r w:rsidRPr="001770C8">
              <w:rPr>
                <w:sz w:val="26"/>
                <w:szCs w:val="26"/>
              </w:rPr>
              <w:t xml:space="preserve"> x Tỷ lệ</w:t>
            </w:r>
          </w:p>
        </w:tc>
        <w:tc>
          <w:tcPr>
            <w:tcW w:w="867" w:type="dxa"/>
            <w:vAlign w:val="center"/>
          </w:tcPr>
          <w:p w14:paraId="06610CC8" w14:textId="77777777" w:rsidR="002957F4" w:rsidRPr="001770C8" w:rsidRDefault="002957F4" w:rsidP="00996678">
            <w:pPr>
              <w:spacing w:before="40" w:after="40"/>
              <w:jc w:val="center"/>
              <w:rPr>
                <w:sz w:val="26"/>
                <w:szCs w:val="26"/>
              </w:rPr>
            </w:pPr>
            <w:r w:rsidRPr="001770C8">
              <w:rPr>
                <w:sz w:val="26"/>
                <w:szCs w:val="26"/>
              </w:rPr>
              <w:t xml:space="preserve"> </w:t>
            </w:r>
          </w:p>
        </w:tc>
        <w:tc>
          <w:tcPr>
            <w:tcW w:w="910" w:type="dxa"/>
            <w:vAlign w:val="center"/>
          </w:tcPr>
          <w:p w14:paraId="54340954" w14:textId="77777777" w:rsidR="002957F4" w:rsidRPr="001770C8" w:rsidRDefault="002957F4" w:rsidP="00996678">
            <w:pPr>
              <w:spacing w:before="40" w:after="40"/>
              <w:jc w:val="center"/>
              <w:rPr>
                <w:sz w:val="26"/>
                <w:szCs w:val="26"/>
                <w:vertAlign w:val="subscript"/>
              </w:rPr>
            </w:pPr>
            <w:r w:rsidRPr="001770C8">
              <w:rPr>
                <w:sz w:val="26"/>
                <w:szCs w:val="26"/>
              </w:rPr>
              <w:t>C</w:t>
            </w:r>
            <w:r w:rsidRPr="001770C8">
              <w:rPr>
                <w:sz w:val="26"/>
                <w:szCs w:val="26"/>
                <w:vertAlign w:val="subscript"/>
              </w:rPr>
              <w:t>ql</w:t>
            </w:r>
          </w:p>
        </w:tc>
      </w:tr>
      <w:tr w:rsidR="001770C8" w:rsidRPr="001770C8" w14:paraId="0E9F4C8A" w14:textId="77777777" w:rsidTr="007A6E7B">
        <w:trPr>
          <w:jc w:val="center"/>
        </w:trPr>
        <w:tc>
          <w:tcPr>
            <w:tcW w:w="680" w:type="dxa"/>
            <w:vAlign w:val="center"/>
          </w:tcPr>
          <w:p w14:paraId="7C74A7D1" w14:textId="77777777" w:rsidR="002957F4" w:rsidRPr="001770C8" w:rsidRDefault="002957F4" w:rsidP="00996678">
            <w:pPr>
              <w:spacing w:before="40" w:after="40"/>
              <w:jc w:val="center"/>
              <w:rPr>
                <w:sz w:val="26"/>
                <w:szCs w:val="26"/>
              </w:rPr>
            </w:pPr>
            <w:r w:rsidRPr="001770C8">
              <w:rPr>
                <w:sz w:val="26"/>
                <w:szCs w:val="26"/>
              </w:rPr>
              <w:t>3</w:t>
            </w:r>
          </w:p>
        </w:tc>
        <w:tc>
          <w:tcPr>
            <w:tcW w:w="3434" w:type="dxa"/>
            <w:vAlign w:val="center"/>
          </w:tcPr>
          <w:p w14:paraId="2256F796" w14:textId="77777777" w:rsidR="002957F4" w:rsidRPr="001770C8" w:rsidRDefault="002957F4" w:rsidP="00996678">
            <w:pPr>
              <w:spacing w:before="40" w:after="40"/>
              <w:jc w:val="both"/>
              <w:rPr>
                <w:sz w:val="26"/>
                <w:szCs w:val="26"/>
              </w:rPr>
            </w:pPr>
            <w:r w:rsidRPr="001770C8">
              <w:rPr>
                <w:sz w:val="26"/>
                <w:szCs w:val="26"/>
              </w:rPr>
              <w:t>Chi phí khác</w:t>
            </w:r>
          </w:p>
        </w:tc>
        <w:tc>
          <w:tcPr>
            <w:tcW w:w="3656" w:type="dxa"/>
            <w:vAlign w:val="center"/>
          </w:tcPr>
          <w:p w14:paraId="7D64F64D" w14:textId="77777777" w:rsidR="002957F4" w:rsidRPr="001770C8" w:rsidRDefault="002957F4" w:rsidP="00996678">
            <w:pPr>
              <w:spacing w:before="40" w:after="40"/>
              <w:jc w:val="center"/>
              <w:rPr>
                <w:sz w:val="26"/>
                <w:szCs w:val="26"/>
              </w:rPr>
            </w:pPr>
          </w:p>
        </w:tc>
        <w:tc>
          <w:tcPr>
            <w:tcW w:w="867" w:type="dxa"/>
            <w:vAlign w:val="center"/>
          </w:tcPr>
          <w:p w14:paraId="2549ECBF" w14:textId="77777777" w:rsidR="002957F4" w:rsidRPr="001770C8" w:rsidRDefault="002957F4" w:rsidP="00996678">
            <w:pPr>
              <w:spacing w:before="40" w:after="40"/>
              <w:jc w:val="center"/>
              <w:rPr>
                <w:sz w:val="26"/>
                <w:szCs w:val="26"/>
              </w:rPr>
            </w:pPr>
            <w:r w:rsidRPr="001770C8">
              <w:rPr>
                <w:sz w:val="26"/>
                <w:szCs w:val="26"/>
              </w:rPr>
              <w:t xml:space="preserve"> </w:t>
            </w:r>
          </w:p>
        </w:tc>
        <w:tc>
          <w:tcPr>
            <w:tcW w:w="910" w:type="dxa"/>
            <w:vAlign w:val="center"/>
          </w:tcPr>
          <w:p w14:paraId="200C3022" w14:textId="77777777" w:rsidR="002957F4" w:rsidRPr="001770C8" w:rsidRDefault="002957F4" w:rsidP="00996678">
            <w:pPr>
              <w:spacing w:before="40" w:after="40"/>
              <w:jc w:val="center"/>
              <w:rPr>
                <w:sz w:val="26"/>
                <w:szCs w:val="26"/>
                <w:vertAlign w:val="subscript"/>
              </w:rPr>
            </w:pPr>
            <w:r w:rsidRPr="001770C8">
              <w:rPr>
                <w:sz w:val="26"/>
                <w:szCs w:val="26"/>
              </w:rPr>
              <w:t>C</w:t>
            </w:r>
            <w:r w:rsidRPr="001770C8">
              <w:rPr>
                <w:sz w:val="26"/>
                <w:szCs w:val="26"/>
                <w:vertAlign w:val="subscript"/>
              </w:rPr>
              <w:t>k</w:t>
            </w:r>
          </w:p>
        </w:tc>
      </w:tr>
      <w:tr w:rsidR="001770C8" w:rsidRPr="001770C8" w14:paraId="36338265" w14:textId="77777777" w:rsidTr="007A6E7B">
        <w:trPr>
          <w:jc w:val="center"/>
        </w:trPr>
        <w:tc>
          <w:tcPr>
            <w:tcW w:w="680" w:type="dxa"/>
            <w:vAlign w:val="center"/>
          </w:tcPr>
          <w:p w14:paraId="104808DA" w14:textId="77777777" w:rsidR="002957F4" w:rsidRPr="001770C8" w:rsidRDefault="002957F4" w:rsidP="00996678">
            <w:pPr>
              <w:spacing w:before="40" w:after="40"/>
              <w:jc w:val="center"/>
              <w:rPr>
                <w:sz w:val="26"/>
                <w:szCs w:val="26"/>
              </w:rPr>
            </w:pPr>
            <w:r w:rsidRPr="001770C8">
              <w:rPr>
                <w:sz w:val="26"/>
                <w:szCs w:val="26"/>
              </w:rPr>
              <w:t>4</w:t>
            </w:r>
          </w:p>
        </w:tc>
        <w:tc>
          <w:tcPr>
            <w:tcW w:w="3434" w:type="dxa"/>
            <w:vAlign w:val="center"/>
          </w:tcPr>
          <w:p w14:paraId="368847F2" w14:textId="77777777" w:rsidR="002957F4" w:rsidRPr="001770C8" w:rsidRDefault="002957F4" w:rsidP="00996678">
            <w:pPr>
              <w:spacing w:before="40" w:after="40"/>
              <w:jc w:val="both"/>
              <w:rPr>
                <w:sz w:val="26"/>
                <w:szCs w:val="26"/>
              </w:rPr>
            </w:pPr>
            <w:r w:rsidRPr="001770C8">
              <w:rPr>
                <w:sz w:val="26"/>
                <w:szCs w:val="26"/>
              </w:rPr>
              <w:t>Thu nhập chịu thuế tính trước</w:t>
            </w:r>
          </w:p>
        </w:tc>
        <w:tc>
          <w:tcPr>
            <w:tcW w:w="3656" w:type="dxa"/>
            <w:vAlign w:val="center"/>
          </w:tcPr>
          <w:p w14:paraId="253CE3F6" w14:textId="77777777" w:rsidR="002957F4" w:rsidRPr="001770C8" w:rsidRDefault="002957F4" w:rsidP="00996678">
            <w:pPr>
              <w:spacing w:before="40" w:after="40"/>
              <w:jc w:val="center"/>
              <w:rPr>
                <w:sz w:val="26"/>
                <w:szCs w:val="26"/>
              </w:rPr>
            </w:pPr>
            <w:r w:rsidRPr="001770C8">
              <w:rPr>
                <w:sz w:val="26"/>
                <w:szCs w:val="26"/>
              </w:rPr>
              <w:t>(C</w:t>
            </w:r>
            <w:r w:rsidRPr="001770C8">
              <w:rPr>
                <w:sz w:val="26"/>
                <w:szCs w:val="26"/>
                <w:vertAlign w:val="subscript"/>
              </w:rPr>
              <w:t xml:space="preserve">cg </w:t>
            </w:r>
            <w:r w:rsidRPr="001770C8">
              <w:rPr>
                <w:sz w:val="26"/>
                <w:szCs w:val="26"/>
              </w:rPr>
              <w:t>+ C</w:t>
            </w:r>
            <w:r w:rsidRPr="001770C8">
              <w:rPr>
                <w:sz w:val="26"/>
                <w:szCs w:val="26"/>
                <w:vertAlign w:val="subscript"/>
              </w:rPr>
              <w:t xml:space="preserve">ql </w:t>
            </w:r>
            <w:r w:rsidRPr="001770C8">
              <w:rPr>
                <w:sz w:val="26"/>
                <w:szCs w:val="26"/>
              </w:rPr>
              <w:t>) x 6%</w:t>
            </w:r>
          </w:p>
        </w:tc>
        <w:tc>
          <w:tcPr>
            <w:tcW w:w="867" w:type="dxa"/>
            <w:vAlign w:val="center"/>
          </w:tcPr>
          <w:p w14:paraId="2C020E10" w14:textId="77777777" w:rsidR="002957F4" w:rsidRPr="001770C8" w:rsidRDefault="002957F4" w:rsidP="00996678">
            <w:pPr>
              <w:spacing w:before="40" w:after="40"/>
              <w:jc w:val="center"/>
              <w:rPr>
                <w:sz w:val="26"/>
                <w:szCs w:val="26"/>
              </w:rPr>
            </w:pPr>
            <w:r w:rsidRPr="001770C8">
              <w:rPr>
                <w:sz w:val="26"/>
                <w:szCs w:val="26"/>
              </w:rPr>
              <w:t xml:space="preserve"> </w:t>
            </w:r>
          </w:p>
        </w:tc>
        <w:tc>
          <w:tcPr>
            <w:tcW w:w="910" w:type="dxa"/>
            <w:vAlign w:val="center"/>
          </w:tcPr>
          <w:p w14:paraId="65E25068" w14:textId="77777777" w:rsidR="002957F4" w:rsidRPr="001770C8" w:rsidRDefault="002957F4" w:rsidP="00996678">
            <w:pPr>
              <w:spacing w:before="40" w:after="40"/>
              <w:jc w:val="center"/>
              <w:rPr>
                <w:sz w:val="26"/>
                <w:szCs w:val="26"/>
              </w:rPr>
            </w:pPr>
            <w:r w:rsidRPr="001770C8">
              <w:rPr>
                <w:sz w:val="26"/>
                <w:szCs w:val="26"/>
              </w:rPr>
              <w:t>TL</w:t>
            </w:r>
          </w:p>
        </w:tc>
      </w:tr>
      <w:tr w:rsidR="001770C8" w:rsidRPr="001770C8" w14:paraId="20BF14E5" w14:textId="77777777" w:rsidTr="007A6E7B">
        <w:trPr>
          <w:jc w:val="center"/>
        </w:trPr>
        <w:tc>
          <w:tcPr>
            <w:tcW w:w="680" w:type="dxa"/>
            <w:vAlign w:val="center"/>
          </w:tcPr>
          <w:p w14:paraId="711E23A5" w14:textId="77777777" w:rsidR="002957F4" w:rsidRPr="001770C8" w:rsidRDefault="002957F4" w:rsidP="00996678">
            <w:pPr>
              <w:spacing w:before="40" w:after="40"/>
              <w:jc w:val="center"/>
              <w:rPr>
                <w:sz w:val="26"/>
                <w:szCs w:val="26"/>
              </w:rPr>
            </w:pPr>
            <w:r w:rsidRPr="001770C8">
              <w:rPr>
                <w:sz w:val="26"/>
                <w:szCs w:val="26"/>
              </w:rPr>
              <w:t>5</w:t>
            </w:r>
          </w:p>
        </w:tc>
        <w:tc>
          <w:tcPr>
            <w:tcW w:w="3434" w:type="dxa"/>
            <w:vAlign w:val="center"/>
          </w:tcPr>
          <w:p w14:paraId="2C4A71AB" w14:textId="4B80C936" w:rsidR="002957F4" w:rsidRPr="001770C8" w:rsidRDefault="002957F4" w:rsidP="00B42C68">
            <w:pPr>
              <w:spacing w:before="40" w:after="40"/>
              <w:jc w:val="both"/>
              <w:rPr>
                <w:sz w:val="26"/>
                <w:szCs w:val="26"/>
              </w:rPr>
            </w:pPr>
            <w:r w:rsidRPr="001770C8">
              <w:rPr>
                <w:sz w:val="26"/>
                <w:szCs w:val="26"/>
              </w:rPr>
              <w:t xml:space="preserve">Thuế </w:t>
            </w:r>
          </w:p>
        </w:tc>
        <w:tc>
          <w:tcPr>
            <w:tcW w:w="3656" w:type="dxa"/>
            <w:vAlign w:val="center"/>
          </w:tcPr>
          <w:p w14:paraId="3EF7895C" w14:textId="05F635C2" w:rsidR="002957F4" w:rsidRPr="001770C8" w:rsidRDefault="002957F4" w:rsidP="00B42C68">
            <w:pPr>
              <w:spacing w:before="40" w:after="40"/>
              <w:jc w:val="center"/>
              <w:rPr>
                <w:sz w:val="26"/>
                <w:szCs w:val="26"/>
              </w:rPr>
            </w:pPr>
          </w:p>
        </w:tc>
        <w:tc>
          <w:tcPr>
            <w:tcW w:w="867" w:type="dxa"/>
            <w:vAlign w:val="center"/>
          </w:tcPr>
          <w:p w14:paraId="395D58E7" w14:textId="77777777" w:rsidR="002957F4" w:rsidRPr="001770C8" w:rsidRDefault="002957F4" w:rsidP="00996678">
            <w:pPr>
              <w:spacing w:before="40" w:after="40"/>
              <w:jc w:val="center"/>
              <w:rPr>
                <w:sz w:val="26"/>
                <w:szCs w:val="26"/>
              </w:rPr>
            </w:pPr>
            <w:r w:rsidRPr="001770C8">
              <w:rPr>
                <w:sz w:val="26"/>
                <w:szCs w:val="26"/>
              </w:rPr>
              <w:t xml:space="preserve"> </w:t>
            </w:r>
          </w:p>
        </w:tc>
        <w:tc>
          <w:tcPr>
            <w:tcW w:w="910" w:type="dxa"/>
            <w:vAlign w:val="center"/>
          </w:tcPr>
          <w:p w14:paraId="4D285E86" w14:textId="28A57A5D" w:rsidR="002957F4" w:rsidRPr="001770C8" w:rsidRDefault="00B42C68" w:rsidP="00996678">
            <w:pPr>
              <w:spacing w:before="40" w:after="40"/>
              <w:jc w:val="center"/>
              <w:rPr>
                <w:sz w:val="26"/>
                <w:szCs w:val="26"/>
              </w:rPr>
            </w:pPr>
            <w:r w:rsidRPr="001770C8">
              <w:rPr>
                <w:sz w:val="26"/>
                <w:szCs w:val="26"/>
              </w:rPr>
              <w:t>T</w:t>
            </w:r>
          </w:p>
        </w:tc>
      </w:tr>
      <w:tr w:rsidR="001770C8" w:rsidRPr="001770C8" w14:paraId="2BA8DA02" w14:textId="77777777" w:rsidTr="007A6E7B">
        <w:trPr>
          <w:jc w:val="center"/>
        </w:trPr>
        <w:tc>
          <w:tcPr>
            <w:tcW w:w="680" w:type="dxa"/>
            <w:vAlign w:val="center"/>
          </w:tcPr>
          <w:p w14:paraId="5D916357" w14:textId="77777777" w:rsidR="002957F4" w:rsidRPr="001770C8" w:rsidRDefault="002957F4" w:rsidP="00996678">
            <w:pPr>
              <w:spacing w:before="40" w:after="40"/>
              <w:jc w:val="center"/>
              <w:rPr>
                <w:sz w:val="26"/>
                <w:szCs w:val="26"/>
              </w:rPr>
            </w:pPr>
            <w:r w:rsidRPr="001770C8">
              <w:rPr>
                <w:sz w:val="26"/>
                <w:szCs w:val="26"/>
              </w:rPr>
              <w:t>6</w:t>
            </w:r>
          </w:p>
        </w:tc>
        <w:tc>
          <w:tcPr>
            <w:tcW w:w="3434" w:type="dxa"/>
            <w:vAlign w:val="center"/>
          </w:tcPr>
          <w:p w14:paraId="2D9CEBC1" w14:textId="77777777" w:rsidR="002957F4" w:rsidRPr="001770C8" w:rsidRDefault="002957F4" w:rsidP="00996678">
            <w:pPr>
              <w:spacing w:before="40" w:after="40"/>
              <w:jc w:val="both"/>
              <w:rPr>
                <w:sz w:val="26"/>
                <w:szCs w:val="26"/>
              </w:rPr>
            </w:pPr>
            <w:r w:rsidRPr="001770C8">
              <w:rPr>
                <w:sz w:val="26"/>
                <w:szCs w:val="26"/>
              </w:rPr>
              <w:t>Chi phí dự phòng</w:t>
            </w:r>
          </w:p>
        </w:tc>
        <w:tc>
          <w:tcPr>
            <w:tcW w:w="3656" w:type="dxa"/>
            <w:vAlign w:val="center"/>
          </w:tcPr>
          <w:p w14:paraId="780D1B35" w14:textId="046D6C13" w:rsidR="002957F4" w:rsidRPr="001770C8" w:rsidRDefault="002957F4" w:rsidP="00B42C68">
            <w:pPr>
              <w:spacing w:before="40" w:after="40"/>
              <w:jc w:val="center"/>
              <w:rPr>
                <w:sz w:val="26"/>
                <w:szCs w:val="26"/>
              </w:rPr>
            </w:pPr>
            <w:r w:rsidRPr="001770C8">
              <w:rPr>
                <w:sz w:val="26"/>
                <w:szCs w:val="26"/>
              </w:rPr>
              <w:t>(C</w:t>
            </w:r>
            <w:r w:rsidRPr="001770C8">
              <w:rPr>
                <w:sz w:val="26"/>
                <w:szCs w:val="26"/>
                <w:vertAlign w:val="subscript"/>
              </w:rPr>
              <w:t xml:space="preserve">cg </w:t>
            </w:r>
            <w:r w:rsidRPr="001770C8">
              <w:rPr>
                <w:sz w:val="26"/>
                <w:szCs w:val="26"/>
              </w:rPr>
              <w:t>+ C</w:t>
            </w:r>
            <w:r w:rsidRPr="001770C8">
              <w:rPr>
                <w:sz w:val="26"/>
                <w:szCs w:val="26"/>
                <w:vertAlign w:val="subscript"/>
              </w:rPr>
              <w:t xml:space="preserve">ql </w:t>
            </w:r>
            <w:r w:rsidRPr="001770C8">
              <w:rPr>
                <w:sz w:val="26"/>
                <w:szCs w:val="26"/>
              </w:rPr>
              <w:t>+ C</w:t>
            </w:r>
            <w:r w:rsidRPr="001770C8">
              <w:rPr>
                <w:sz w:val="26"/>
                <w:szCs w:val="26"/>
                <w:vertAlign w:val="subscript"/>
              </w:rPr>
              <w:t xml:space="preserve">k </w:t>
            </w:r>
            <w:r w:rsidRPr="001770C8">
              <w:rPr>
                <w:sz w:val="26"/>
                <w:szCs w:val="26"/>
              </w:rPr>
              <w:t xml:space="preserve">+ TL + </w:t>
            </w:r>
            <w:r w:rsidR="00B42C68" w:rsidRPr="001770C8">
              <w:rPr>
                <w:sz w:val="26"/>
                <w:szCs w:val="26"/>
              </w:rPr>
              <w:t>T</w:t>
            </w:r>
            <w:r w:rsidRPr="001770C8">
              <w:rPr>
                <w:sz w:val="26"/>
                <w:szCs w:val="26"/>
              </w:rPr>
              <w:t>) x Tỷ lệ</w:t>
            </w:r>
          </w:p>
        </w:tc>
        <w:tc>
          <w:tcPr>
            <w:tcW w:w="867" w:type="dxa"/>
            <w:vAlign w:val="center"/>
          </w:tcPr>
          <w:p w14:paraId="29D9C720" w14:textId="77777777" w:rsidR="002957F4" w:rsidRPr="001770C8" w:rsidRDefault="002957F4" w:rsidP="00996678">
            <w:pPr>
              <w:spacing w:before="40" w:after="40"/>
              <w:jc w:val="center"/>
              <w:rPr>
                <w:sz w:val="26"/>
                <w:szCs w:val="26"/>
              </w:rPr>
            </w:pPr>
            <w:r w:rsidRPr="001770C8">
              <w:rPr>
                <w:sz w:val="26"/>
                <w:szCs w:val="26"/>
              </w:rPr>
              <w:t xml:space="preserve"> </w:t>
            </w:r>
          </w:p>
        </w:tc>
        <w:tc>
          <w:tcPr>
            <w:tcW w:w="910" w:type="dxa"/>
            <w:vAlign w:val="center"/>
          </w:tcPr>
          <w:p w14:paraId="22B8EEAB" w14:textId="77777777" w:rsidR="002957F4" w:rsidRPr="001770C8" w:rsidRDefault="002957F4" w:rsidP="00996678">
            <w:pPr>
              <w:spacing w:before="40" w:after="40"/>
              <w:jc w:val="center"/>
              <w:rPr>
                <w:sz w:val="26"/>
                <w:szCs w:val="26"/>
                <w:vertAlign w:val="subscript"/>
              </w:rPr>
            </w:pPr>
            <w:r w:rsidRPr="001770C8">
              <w:rPr>
                <w:sz w:val="26"/>
                <w:szCs w:val="26"/>
              </w:rPr>
              <w:t>C</w:t>
            </w:r>
            <w:r w:rsidRPr="001770C8">
              <w:rPr>
                <w:sz w:val="26"/>
                <w:szCs w:val="26"/>
                <w:vertAlign w:val="subscript"/>
              </w:rPr>
              <w:t>dp</w:t>
            </w:r>
          </w:p>
        </w:tc>
      </w:tr>
      <w:tr w:rsidR="001770C8" w:rsidRPr="001770C8" w14:paraId="749ED3E7" w14:textId="77777777" w:rsidTr="007A6E7B">
        <w:trPr>
          <w:jc w:val="center"/>
        </w:trPr>
        <w:tc>
          <w:tcPr>
            <w:tcW w:w="680" w:type="dxa"/>
            <w:vAlign w:val="center"/>
          </w:tcPr>
          <w:p w14:paraId="07C047EF" w14:textId="77777777" w:rsidR="002957F4" w:rsidRPr="001770C8" w:rsidRDefault="002957F4" w:rsidP="00996678">
            <w:pPr>
              <w:spacing w:before="40" w:after="40"/>
              <w:jc w:val="center"/>
              <w:rPr>
                <w:sz w:val="26"/>
                <w:szCs w:val="26"/>
              </w:rPr>
            </w:pPr>
            <w:r w:rsidRPr="001770C8">
              <w:rPr>
                <w:sz w:val="26"/>
                <w:szCs w:val="26"/>
              </w:rPr>
              <w:t xml:space="preserve"> </w:t>
            </w:r>
          </w:p>
        </w:tc>
        <w:tc>
          <w:tcPr>
            <w:tcW w:w="3434" w:type="dxa"/>
            <w:vAlign w:val="center"/>
          </w:tcPr>
          <w:p w14:paraId="7694610E" w14:textId="77777777" w:rsidR="002957F4" w:rsidRPr="001770C8" w:rsidRDefault="002957F4" w:rsidP="00996678">
            <w:pPr>
              <w:spacing w:before="40" w:after="40"/>
              <w:jc w:val="center"/>
              <w:rPr>
                <w:b/>
                <w:sz w:val="26"/>
                <w:szCs w:val="26"/>
              </w:rPr>
            </w:pPr>
            <w:r w:rsidRPr="001770C8">
              <w:rPr>
                <w:b/>
                <w:sz w:val="26"/>
                <w:szCs w:val="26"/>
              </w:rPr>
              <w:t>TỔNG CỘNG</w:t>
            </w:r>
          </w:p>
        </w:tc>
        <w:tc>
          <w:tcPr>
            <w:tcW w:w="3656" w:type="dxa"/>
            <w:vAlign w:val="center"/>
          </w:tcPr>
          <w:p w14:paraId="355C4FFF" w14:textId="14B64858" w:rsidR="002957F4" w:rsidRPr="001770C8" w:rsidRDefault="002957F4" w:rsidP="00B42C68">
            <w:pPr>
              <w:spacing w:before="40" w:after="40"/>
              <w:jc w:val="center"/>
              <w:rPr>
                <w:b/>
                <w:sz w:val="26"/>
                <w:szCs w:val="26"/>
                <w:vertAlign w:val="subscript"/>
              </w:rPr>
            </w:pPr>
            <w:r w:rsidRPr="001770C8">
              <w:rPr>
                <w:b/>
                <w:sz w:val="26"/>
                <w:szCs w:val="26"/>
              </w:rPr>
              <w:t>C</w:t>
            </w:r>
            <w:r w:rsidRPr="001770C8">
              <w:rPr>
                <w:b/>
                <w:sz w:val="26"/>
                <w:szCs w:val="26"/>
                <w:vertAlign w:val="subscript"/>
              </w:rPr>
              <w:t xml:space="preserve">cg </w:t>
            </w:r>
            <w:r w:rsidRPr="001770C8">
              <w:rPr>
                <w:b/>
                <w:sz w:val="26"/>
                <w:szCs w:val="26"/>
              </w:rPr>
              <w:t>+ C</w:t>
            </w:r>
            <w:r w:rsidRPr="001770C8">
              <w:rPr>
                <w:b/>
                <w:sz w:val="26"/>
                <w:szCs w:val="26"/>
                <w:vertAlign w:val="subscript"/>
              </w:rPr>
              <w:t xml:space="preserve">ql </w:t>
            </w:r>
            <w:r w:rsidRPr="001770C8">
              <w:rPr>
                <w:b/>
                <w:sz w:val="26"/>
                <w:szCs w:val="26"/>
              </w:rPr>
              <w:t>+ C</w:t>
            </w:r>
            <w:r w:rsidRPr="001770C8">
              <w:rPr>
                <w:b/>
                <w:sz w:val="26"/>
                <w:szCs w:val="26"/>
                <w:vertAlign w:val="subscript"/>
              </w:rPr>
              <w:t xml:space="preserve">k </w:t>
            </w:r>
            <w:r w:rsidRPr="001770C8">
              <w:rPr>
                <w:b/>
                <w:sz w:val="26"/>
                <w:szCs w:val="26"/>
              </w:rPr>
              <w:t xml:space="preserve">+ TL + </w:t>
            </w:r>
            <w:r w:rsidR="00B42C68" w:rsidRPr="001770C8">
              <w:rPr>
                <w:b/>
                <w:sz w:val="26"/>
                <w:szCs w:val="26"/>
              </w:rPr>
              <w:t>T</w:t>
            </w:r>
            <w:r w:rsidRPr="001770C8">
              <w:rPr>
                <w:b/>
                <w:sz w:val="26"/>
                <w:szCs w:val="26"/>
              </w:rPr>
              <w:t xml:space="preserve"> + C</w:t>
            </w:r>
            <w:r w:rsidRPr="001770C8">
              <w:rPr>
                <w:b/>
                <w:sz w:val="26"/>
                <w:szCs w:val="26"/>
                <w:vertAlign w:val="subscript"/>
              </w:rPr>
              <w:t>dp</w:t>
            </w:r>
          </w:p>
        </w:tc>
        <w:tc>
          <w:tcPr>
            <w:tcW w:w="867" w:type="dxa"/>
            <w:vAlign w:val="center"/>
          </w:tcPr>
          <w:p w14:paraId="3175B17F" w14:textId="77777777" w:rsidR="002957F4" w:rsidRPr="001770C8" w:rsidRDefault="002957F4" w:rsidP="00996678">
            <w:pPr>
              <w:spacing w:before="40" w:after="40"/>
              <w:jc w:val="center"/>
              <w:rPr>
                <w:b/>
                <w:sz w:val="26"/>
                <w:szCs w:val="26"/>
              </w:rPr>
            </w:pPr>
            <w:r w:rsidRPr="001770C8">
              <w:rPr>
                <w:b/>
                <w:sz w:val="26"/>
                <w:szCs w:val="26"/>
              </w:rPr>
              <w:t xml:space="preserve"> </w:t>
            </w:r>
          </w:p>
        </w:tc>
        <w:tc>
          <w:tcPr>
            <w:tcW w:w="910" w:type="dxa"/>
            <w:vAlign w:val="center"/>
          </w:tcPr>
          <w:p w14:paraId="0B271009" w14:textId="77777777" w:rsidR="002957F4" w:rsidRPr="001770C8" w:rsidRDefault="002957F4" w:rsidP="00996678">
            <w:pPr>
              <w:spacing w:before="40" w:after="40"/>
              <w:jc w:val="center"/>
              <w:rPr>
                <w:b/>
                <w:sz w:val="26"/>
                <w:szCs w:val="26"/>
                <w:vertAlign w:val="subscript"/>
              </w:rPr>
            </w:pPr>
            <w:r w:rsidRPr="001770C8">
              <w:rPr>
                <w:b/>
                <w:sz w:val="26"/>
                <w:szCs w:val="26"/>
              </w:rPr>
              <w:t>C</w:t>
            </w:r>
            <w:r w:rsidRPr="001770C8">
              <w:rPr>
                <w:b/>
                <w:sz w:val="26"/>
                <w:szCs w:val="26"/>
                <w:vertAlign w:val="subscript"/>
              </w:rPr>
              <w:t>TV</w:t>
            </w:r>
          </w:p>
        </w:tc>
      </w:tr>
    </w:tbl>
    <w:p w14:paraId="0C342C53" w14:textId="77777777" w:rsidR="002957F4" w:rsidRPr="001770C8" w:rsidRDefault="002957F4" w:rsidP="002957F4">
      <w:pPr>
        <w:spacing w:before="240"/>
        <w:rPr>
          <w:sz w:val="26"/>
          <w:szCs w:val="26"/>
        </w:rPr>
      </w:pPr>
      <w:r w:rsidRPr="001770C8">
        <w:rPr>
          <w:sz w:val="26"/>
          <w:szCs w:val="26"/>
        </w:rPr>
        <w:t xml:space="preserve"> </w:t>
      </w:r>
      <w:r w:rsidRPr="001770C8">
        <w:rPr>
          <w:i/>
        </w:rPr>
        <w:t xml:space="preserve"> </w:t>
      </w:r>
      <w:r w:rsidRPr="001770C8">
        <w:t xml:space="preserve">                 </w:t>
      </w:r>
      <w:r w:rsidRPr="001770C8">
        <w:rPr>
          <w:b/>
          <w:sz w:val="26"/>
          <w:szCs w:val="26"/>
        </w:rPr>
        <w:t>NGƯỜI LẬP                                           NGƯỜI CHỦ TRÌ</w:t>
      </w:r>
    </w:p>
    <w:p w14:paraId="489512BD" w14:textId="77777777" w:rsidR="002957F4" w:rsidRPr="001770C8" w:rsidRDefault="002957F4" w:rsidP="002957F4">
      <w:pPr>
        <w:spacing w:before="40"/>
        <w:rPr>
          <w:i/>
          <w:sz w:val="26"/>
          <w:szCs w:val="26"/>
        </w:rPr>
      </w:pPr>
      <w:r w:rsidRPr="001770C8">
        <w:rPr>
          <w:i/>
          <w:sz w:val="26"/>
          <w:szCs w:val="26"/>
        </w:rPr>
        <w:t xml:space="preserve">                    (ký, họ tên)</w:t>
      </w:r>
      <w:r w:rsidRPr="001770C8">
        <w:rPr>
          <w:i/>
          <w:sz w:val="26"/>
          <w:szCs w:val="26"/>
        </w:rPr>
        <w:tab/>
      </w:r>
      <w:r w:rsidRPr="001770C8">
        <w:rPr>
          <w:i/>
          <w:sz w:val="26"/>
          <w:szCs w:val="26"/>
        </w:rPr>
        <w:tab/>
        <w:t xml:space="preserve">                                      (ký, họ tên)</w:t>
      </w:r>
    </w:p>
    <w:p w14:paraId="19FCCB68" w14:textId="77777777" w:rsidR="002957F4" w:rsidRPr="001770C8" w:rsidRDefault="002957F4" w:rsidP="002957F4">
      <w:pPr>
        <w:spacing w:before="40"/>
        <w:jc w:val="right"/>
        <w:rPr>
          <w:sz w:val="26"/>
          <w:szCs w:val="26"/>
        </w:rPr>
      </w:pPr>
      <w:r w:rsidRPr="001770C8">
        <w:rPr>
          <w:sz w:val="26"/>
          <w:szCs w:val="26"/>
        </w:rPr>
        <w:t xml:space="preserve">   Chứng chỉ hành nghề định giá XD hạng ..., số ...</w:t>
      </w:r>
    </w:p>
    <w:p w14:paraId="3A58AE50" w14:textId="77777777" w:rsidR="002B456A" w:rsidRPr="001770C8" w:rsidRDefault="002B456A" w:rsidP="00306163">
      <w:pPr>
        <w:widowControl w:val="0"/>
        <w:spacing w:before="120" w:line="276" w:lineRule="auto"/>
        <w:ind w:firstLine="720"/>
        <w:jc w:val="both"/>
      </w:pPr>
    </w:p>
    <w:p w14:paraId="08A7E13E" w14:textId="77777777" w:rsidR="00F06975" w:rsidRPr="001770C8" w:rsidRDefault="00F06975" w:rsidP="00306163">
      <w:pPr>
        <w:widowControl w:val="0"/>
        <w:spacing w:before="120" w:line="276" w:lineRule="auto"/>
        <w:ind w:firstLine="720"/>
        <w:jc w:val="both"/>
      </w:pPr>
    </w:p>
    <w:p w14:paraId="23E49AE3" w14:textId="0B26BA78" w:rsidR="00306163" w:rsidRPr="00C82F23" w:rsidRDefault="00306163" w:rsidP="00306163">
      <w:pPr>
        <w:widowControl w:val="0"/>
        <w:spacing w:before="120" w:line="276" w:lineRule="auto"/>
        <w:ind w:firstLine="720"/>
        <w:jc w:val="both"/>
        <w:rPr>
          <w:b/>
          <w:sz w:val="26"/>
          <w:szCs w:val="26"/>
        </w:rPr>
      </w:pPr>
      <w:bookmarkStart w:id="1" w:name="_tyjcwt" w:colFirst="0" w:colLast="0"/>
      <w:bookmarkEnd w:id="1"/>
      <w:r w:rsidRPr="00C82F23">
        <w:rPr>
          <w:b/>
          <w:sz w:val="26"/>
          <w:szCs w:val="26"/>
        </w:rPr>
        <w:t xml:space="preserve">V. ĐƠN GIÁ </w:t>
      </w:r>
      <w:r w:rsidR="00F06975" w:rsidRPr="00C82F23">
        <w:rPr>
          <w:b/>
          <w:sz w:val="26"/>
          <w:szCs w:val="26"/>
        </w:rPr>
        <w:t xml:space="preserve">NGÀY CÔNG </w:t>
      </w:r>
      <w:r w:rsidRPr="00C82F23">
        <w:rPr>
          <w:b/>
          <w:sz w:val="26"/>
          <w:szCs w:val="26"/>
        </w:rPr>
        <w:t>CHUYÊN GIA TƯ VẤN XÂY DỰNG</w:t>
      </w:r>
    </w:p>
    <w:p w14:paraId="7EDB3389" w14:textId="6AE75E8A" w:rsidR="007A6D77" w:rsidRPr="001770C8" w:rsidRDefault="00C95469" w:rsidP="007A6D77">
      <w:pPr>
        <w:widowControl w:val="0"/>
        <w:spacing w:before="120" w:line="276" w:lineRule="auto"/>
        <w:ind w:firstLine="720"/>
        <w:jc w:val="both"/>
        <w:rPr>
          <w:bCs/>
        </w:rPr>
      </w:pPr>
      <w:r w:rsidRPr="001770C8">
        <w:rPr>
          <w:bCs/>
        </w:rPr>
        <w:t xml:space="preserve">1. </w:t>
      </w:r>
      <w:r w:rsidR="007A6D77" w:rsidRPr="001770C8">
        <w:rPr>
          <w:bCs/>
        </w:rPr>
        <w:t xml:space="preserve">Đơn giá ngày công </w:t>
      </w:r>
      <w:r w:rsidRPr="001770C8">
        <w:rPr>
          <w:bCs/>
        </w:rPr>
        <w:t xml:space="preserve">chuyên gia </w:t>
      </w:r>
      <w:r w:rsidR="007A6D77" w:rsidRPr="001770C8">
        <w:rPr>
          <w:bCs/>
        </w:rPr>
        <w:t xml:space="preserve">tư vấn </w:t>
      </w:r>
      <w:r w:rsidRPr="001770C8">
        <w:rPr>
          <w:bCs/>
        </w:rPr>
        <w:t xml:space="preserve">xây dựng </w:t>
      </w:r>
      <w:r w:rsidR="007A6D77" w:rsidRPr="001770C8">
        <w:rPr>
          <w:bCs/>
        </w:rPr>
        <w:t xml:space="preserve">tại Bảng 6.3 dưới đây </w:t>
      </w:r>
      <w:r w:rsidR="00C40478" w:rsidRPr="001770C8">
        <w:rPr>
          <w:bCs/>
        </w:rPr>
        <w:t xml:space="preserve">là cơ sở </w:t>
      </w:r>
      <w:r w:rsidR="007A6D77" w:rsidRPr="001770C8">
        <w:rPr>
          <w:bCs/>
        </w:rPr>
        <w:t xml:space="preserve">để xác định dự toán chi phí </w:t>
      </w:r>
      <w:r w:rsidR="003E01C6" w:rsidRPr="001770C8">
        <w:rPr>
          <w:bCs/>
        </w:rPr>
        <w:t>tư vấn</w:t>
      </w:r>
      <w:r w:rsidR="004C72C5" w:rsidRPr="001770C8">
        <w:rPr>
          <w:bCs/>
        </w:rPr>
        <w:t xml:space="preserve"> theo hướng dẫn tại mục II Phụ lục này</w:t>
      </w:r>
      <w:r w:rsidR="00390746" w:rsidRPr="001770C8">
        <w:rPr>
          <w:bCs/>
        </w:rPr>
        <w:t xml:space="preserve"> đối với các công việc tư vấn chưa có định mức chi phí hoặc đã có định mức chi phí nhưng chưa phù hợp.</w:t>
      </w:r>
    </w:p>
    <w:p w14:paraId="7AAFC4A9" w14:textId="37C84E84" w:rsidR="00C95469" w:rsidRPr="001770C8" w:rsidRDefault="00C95469" w:rsidP="007A6D77">
      <w:pPr>
        <w:widowControl w:val="0"/>
        <w:spacing w:before="120" w:line="276" w:lineRule="auto"/>
        <w:ind w:firstLine="720"/>
        <w:jc w:val="both"/>
        <w:rPr>
          <w:bCs/>
        </w:rPr>
      </w:pPr>
      <w:r w:rsidRPr="001770C8">
        <w:rPr>
          <w:bCs/>
        </w:rPr>
        <w:t xml:space="preserve">2. Đơn giá ngày công chuyên gia tư vấn xây dựng </w:t>
      </w:r>
      <w:r w:rsidRPr="001770C8">
        <w:rPr>
          <w:bCs/>
          <w:lang w:val="vi-VN"/>
        </w:rPr>
        <w:t>tại bảng</w:t>
      </w:r>
      <w:r w:rsidRPr="001770C8">
        <w:rPr>
          <w:bCs/>
        </w:rPr>
        <w:t xml:space="preserve"> 6.3 dưới đây </w:t>
      </w:r>
      <w:r w:rsidRPr="001770C8">
        <w:rPr>
          <w:rFonts w:hint="eastAsia"/>
        </w:rPr>
        <w:t>đã</w:t>
      </w:r>
      <w:r w:rsidRPr="001770C8">
        <w:t xml:space="preserve"> bao gồm các khoản bảo hiểm ng</w:t>
      </w:r>
      <w:r w:rsidRPr="001770C8">
        <w:rPr>
          <w:rFonts w:hint="eastAsia"/>
        </w:rPr>
        <w:t>ư</w:t>
      </w:r>
      <w:r w:rsidRPr="001770C8">
        <w:t xml:space="preserve">ời lao </w:t>
      </w:r>
      <w:r w:rsidRPr="001770C8">
        <w:rPr>
          <w:rFonts w:hint="eastAsia"/>
        </w:rPr>
        <w:t>đ</w:t>
      </w:r>
      <w:r w:rsidRPr="001770C8">
        <w:t xml:space="preserve">ộng phải nộp theo quy </w:t>
      </w:r>
      <w:r w:rsidRPr="001770C8">
        <w:rPr>
          <w:rFonts w:hint="eastAsia"/>
        </w:rPr>
        <w:t>đ</w:t>
      </w:r>
      <w:r w:rsidRPr="001770C8">
        <w:t>ịnh, không bao gồm các khoản bảo hiểm mà ng</w:t>
      </w:r>
      <w:r w:rsidRPr="001770C8">
        <w:rPr>
          <w:rFonts w:hint="eastAsia"/>
        </w:rPr>
        <w:t>ư</w:t>
      </w:r>
      <w:r w:rsidRPr="001770C8">
        <w:t xml:space="preserve">ời sử dụng lao </w:t>
      </w:r>
      <w:r w:rsidRPr="001770C8">
        <w:rPr>
          <w:rFonts w:hint="eastAsia"/>
        </w:rPr>
        <w:t>đ</w:t>
      </w:r>
      <w:r w:rsidRPr="001770C8">
        <w:t>ộng</w:t>
      </w:r>
      <w:r w:rsidR="00193105" w:rsidRPr="001770C8">
        <w:t xml:space="preserve"> phải</w:t>
      </w:r>
      <w:r w:rsidRPr="001770C8">
        <w:t xml:space="preserve"> nộp cho ng</w:t>
      </w:r>
      <w:r w:rsidRPr="001770C8">
        <w:rPr>
          <w:rFonts w:hint="eastAsia"/>
        </w:rPr>
        <w:t>ư</w:t>
      </w:r>
      <w:r w:rsidRPr="001770C8">
        <w:t xml:space="preserve">ời lao </w:t>
      </w:r>
      <w:r w:rsidRPr="001770C8">
        <w:rPr>
          <w:rFonts w:hint="eastAsia"/>
        </w:rPr>
        <w:t>đ</w:t>
      </w:r>
      <w:r w:rsidRPr="001770C8">
        <w:t xml:space="preserve">ộng </w:t>
      </w:r>
      <w:r w:rsidRPr="001770C8">
        <w:rPr>
          <w:rFonts w:hint="eastAsia"/>
        </w:rPr>
        <w:t>đã</w:t>
      </w:r>
      <w:r w:rsidRPr="001770C8">
        <w:t xml:space="preserve"> </w:t>
      </w:r>
      <w:r w:rsidRPr="001770C8">
        <w:rPr>
          <w:rFonts w:hint="eastAsia"/>
        </w:rPr>
        <w:t>đư</w:t>
      </w:r>
      <w:r w:rsidRPr="001770C8">
        <w:t>ợc tính trong chi phí quản lý</w:t>
      </w:r>
      <w:r w:rsidRPr="001770C8">
        <w:rPr>
          <w:bCs/>
        </w:rPr>
        <w:t>.</w:t>
      </w:r>
    </w:p>
    <w:p w14:paraId="764A99FD" w14:textId="77777777" w:rsidR="00C95469" w:rsidRPr="001770C8" w:rsidRDefault="00C95469" w:rsidP="007A6D77">
      <w:pPr>
        <w:widowControl w:val="0"/>
        <w:spacing w:before="120" w:line="276" w:lineRule="auto"/>
        <w:ind w:firstLine="720"/>
        <w:jc w:val="both"/>
        <w:rPr>
          <w:bCs/>
        </w:rPr>
      </w:pPr>
    </w:p>
    <w:p w14:paraId="270279A5" w14:textId="77777777" w:rsidR="00C95469" w:rsidRPr="001770C8" w:rsidRDefault="00C95469" w:rsidP="007A6D77">
      <w:pPr>
        <w:widowControl w:val="0"/>
        <w:spacing w:before="120" w:line="276" w:lineRule="auto"/>
        <w:ind w:firstLine="720"/>
        <w:jc w:val="both"/>
        <w:rPr>
          <w:bCs/>
        </w:rPr>
      </w:pPr>
    </w:p>
    <w:p w14:paraId="743ABF83" w14:textId="77777777" w:rsidR="002C0C52" w:rsidRPr="001770C8" w:rsidRDefault="002C0C52" w:rsidP="00F06975">
      <w:pPr>
        <w:widowControl w:val="0"/>
        <w:spacing w:before="240" w:after="240" w:line="276" w:lineRule="auto"/>
        <w:jc w:val="center"/>
        <w:rPr>
          <w:sz w:val="26"/>
          <w:szCs w:val="26"/>
        </w:rPr>
      </w:pPr>
    </w:p>
    <w:p w14:paraId="005B8E88" w14:textId="15BEF07F" w:rsidR="00CB2170" w:rsidRPr="001770C8" w:rsidRDefault="00CB2170" w:rsidP="00F06975">
      <w:pPr>
        <w:widowControl w:val="0"/>
        <w:spacing w:before="240" w:after="240" w:line="276" w:lineRule="auto"/>
        <w:jc w:val="center"/>
        <w:rPr>
          <w:sz w:val="26"/>
          <w:szCs w:val="26"/>
        </w:rPr>
      </w:pPr>
      <w:r w:rsidRPr="001770C8">
        <w:rPr>
          <w:sz w:val="26"/>
          <w:szCs w:val="26"/>
        </w:rPr>
        <w:lastRenderedPageBreak/>
        <w:t xml:space="preserve">Bảng 6.3: ĐƠN GIÁ </w:t>
      </w:r>
      <w:r w:rsidR="00DC7ADA" w:rsidRPr="001770C8">
        <w:rPr>
          <w:sz w:val="26"/>
          <w:szCs w:val="26"/>
        </w:rPr>
        <w:t xml:space="preserve">NGÀY CÔNG </w:t>
      </w:r>
      <w:r w:rsidRPr="001770C8">
        <w:rPr>
          <w:sz w:val="26"/>
          <w:szCs w:val="26"/>
        </w:rPr>
        <w:t>CHUYÊN GIA TƯ VẤN XÂY DỰNG</w:t>
      </w:r>
    </w:p>
    <w:tbl>
      <w:tblPr>
        <w:tblW w:w="5503"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6"/>
        <w:gridCol w:w="7225"/>
        <w:gridCol w:w="1495"/>
      </w:tblGrid>
      <w:tr w:rsidR="001770C8" w:rsidRPr="001770C8" w14:paraId="2537FB0A" w14:textId="77777777" w:rsidTr="00DC7ADA">
        <w:trPr>
          <w:trHeight w:val="506"/>
          <w:tblHeader/>
        </w:trPr>
        <w:tc>
          <w:tcPr>
            <w:tcW w:w="638" w:type="pct"/>
            <w:shd w:val="clear" w:color="auto" w:fill="FFFFFF"/>
          </w:tcPr>
          <w:p w14:paraId="436DFF58" w14:textId="0AD5484E" w:rsidR="001019BB" w:rsidRPr="001770C8" w:rsidRDefault="001019BB" w:rsidP="00DC7ADA">
            <w:pPr>
              <w:spacing w:before="120" w:after="120"/>
              <w:jc w:val="center"/>
              <w:rPr>
                <w:b/>
                <w:sz w:val="26"/>
                <w:szCs w:val="26"/>
              </w:rPr>
            </w:pPr>
            <w:r w:rsidRPr="001770C8">
              <w:rPr>
                <w:b/>
                <w:sz w:val="26"/>
                <w:szCs w:val="26"/>
              </w:rPr>
              <w:t>Nhóm chuyên gia</w:t>
            </w:r>
          </w:p>
        </w:tc>
        <w:tc>
          <w:tcPr>
            <w:tcW w:w="3614" w:type="pct"/>
            <w:shd w:val="clear" w:color="auto" w:fill="FFFFFF"/>
            <w:vAlign w:val="center"/>
          </w:tcPr>
          <w:p w14:paraId="18271AA0" w14:textId="01119E70" w:rsidR="001019BB" w:rsidRPr="001770C8" w:rsidRDefault="00A95690" w:rsidP="00DC7ADA">
            <w:pPr>
              <w:spacing w:before="120" w:after="120"/>
              <w:jc w:val="center"/>
              <w:rPr>
                <w:b/>
                <w:sz w:val="26"/>
                <w:szCs w:val="26"/>
                <w:lang w:val="vi-VN"/>
              </w:rPr>
            </w:pPr>
            <w:r w:rsidRPr="001770C8">
              <w:rPr>
                <w:b/>
                <w:sz w:val="26"/>
                <w:szCs w:val="26"/>
              </w:rPr>
              <w:t>C</w:t>
            </w:r>
            <w:r w:rsidR="001019BB" w:rsidRPr="001770C8">
              <w:rPr>
                <w:b/>
                <w:sz w:val="26"/>
                <w:szCs w:val="26"/>
              </w:rPr>
              <w:t>huyên gia tư vấn xây dựng</w:t>
            </w:r>
            <w:r w:rsidR="001019BB" w:rsidRPr="001770C8">
              <w:rPr>
                <w:b/>
                <w:sz w:val="26"/>
                <w:szCs w:val="26"/>
                <w:lang w:val="vi-VN"/>
              </w:rPr>
              <w:t xml:space="preserve"> </w:t>
            </w:r>
          </w:p>
        </w:tc>
        <w:tc>
          <w:tcPr>
            <w:tcW w:w="748" w:type="pct"/>
            <w:shd w:val="clear" w:color="auto" w:fill="FFFFFF"/>
            <w:vAlign w:val="center"/>
          </w:tcPr>
          <w:p w14:paraId="2F352778" w14:textId="71C6339F" w:rsidR="001019BB" w:rsidRPr="001770C8" w:rsidRDefault="001019BB" w:rsidP="00DC7ADA">
            <w:pPr>
              <w:spacing w:before="120" w:after="120"/>
              <w:jc w:val="center"/>
              <w:rPr>
                <w:b/>
                <w:sz w:val="26"/>
                <w:szCs w:val="26"/>
                <w:lang w:val="vi-VN"/>
              </w:rPr>
            </w:pPr>
            <w:r w:rsidRPr="001770C8">
              <w:rPr>
                <w:b/>
                <w:sz w:val="26"/>
                <w:szCs w:val="26"/>
              </w:rPr>
              <w:t>Đơn giá</w:t>
            </w:r>
            <w:r w:rsidRPr="001770C8">
              <w:rPr>
                <w:b/>
                <w:sz w:val="26"/>
                <w:szCs w:val="26"/>
                <w:lang w:val="vi-VN"/>
              </w:rPr>
              <w:t>/ngày công</w:t>
            </w:r>
          </w:p>
        </w:tc>
      </w:tr>
      <w:tr w:rsidR="001770C8" w:rsidRPr="001770C8" w14:paraId="1862AC92" w14:textId="77777777" w:rsidTr="00DC7ADA">
        <w:trPr>
          <w:trHeight w:val="1760"/>
        </w:trPr>
        <w:tc>
          <w:tcPr>
            <w:tcW w:w="638" w:type="pct"/>
            <w:shd w:val="clear" w:color="auto" w:fill="FFFFFF"/>
            <w:vAlign w:val="center"/>
          </w:tcPr>
          <w:p w14:paraId="36DF86A9" w14:textId="0F8B9277" w:rsidR="001019BB" w:rsidRPr="001770C8" w:rsidRDefault="001019BB" w:rsidP="001019BB">
            <w:pPr>
              <w:ind w:firstLine="5"/>
              <w:jc w:val="center"/>
              <w:rPr>
                <w:b/>
                <w:sz w:val="26"/>
                <w:szCs w:val="26"/>
              </w:rPr>
            </w:pPr>
            <w:r w:rsidRPr="001770C8">
              <w:rPr>
                <w:b/>
                <w:sz w:val="26"/>
                <w:szCs w:val="26"/>
              </w:rPr>
              <w:t>Nhóm I</w:t>
            </w:r>
          </w:p>
        </w:tc>
        <w:tc>
          <w:tcPr>
            <w:tcW w:w="3614" w:type="pct"/>
            <w:shd w:val="clear" w:color="auto" w:fill="FFFFFF"/>
            <w:vAlign w:val="center"/>
          </w:tcPr>
          <w:p w14:paraId="72A2673E" w14:textId="2AB408BA" w:rsidR="001019BB" w:rsidRPr="001770C8" w:rsidRDefault="001019BB" w:rsidP="00176D7B">
            <w:pPr>
              <w:spacing w:before="120" w:after="120"/>
              <w:ind w:right="130" w:firstLine="130"/>
              <w:jc w:val="both"/>
              <w:rPr>
                <w:sz w:val="26"/>
                <w:szCs w:val="26"/>
              </w:rPr>
            </w:pPr>
            <w:r w:rsidRPr="001770C8">
              <w:rPr>
                <w:sz w:val="26"/>
                <w:szCs w:val="26"/>
              </w:rPr>
              <w:t xml:space="preserve">- Chuyên gia tư vấn </w:t>
            </w:r>
            <w:r w:rsidR="00B577C7" w:rsidRPr="001770C8">
              <w:rPr>
                <w:sz w:val="26"/>
                <w:szCs w:val="26"/>
              </w:rPr>
              <w:t>có chuyên môn được đào tạo</w:t>
            </w:r>
            <w:r w:rsidRPr="001770C8">
              <w:rPr>
                <w:sz w:val="26"/>
                <w:szCs w:val="26"/>
              </w:rPr>
              <w:t xml:space="preserve"> phù hợp với chuyên ngành tư vấn và có từ 15 năm kinh nghiệm trở lên trong chuyên ngành tư vấn.</w:t>
            </w:r>
          </w:p>
          <w:p w14:paraId="5B5F9F9F" w14:textId="7161F21B" w:rsidR="001019BB" w:rsidRPr="001770C8" w:rsidRDefault="001019BB" w:rsidP="00176D7B">
            <w:pPr>
              <w:spacing w:before="120" w:after="120"/>
              <w:ind w:right="130" w:firstLine="130"/>
              <w:jc w:val="both"/>
              <w:rPr>
                <w:sz w:val="26"/>
                <w:szCs w:val="26"/>
              </w:rPr>
            </w:pPr>
            <w:r w:rsidRPr="001770C8">
              <w:rPr>
                <w:sz w:val="26"/>
                <w:szCs w:val="26"/>
              </w:rPr>
              <w:t xml:space="preserve">- Chuyên gia tư vấn </w:t>
            </w:r>
            <w:r w:rsidR="00B577C7" w:rsidRPr="001770C8">
              <w:rPr>
                <w:sz w:val="26"/>
                <w:szCs w:val="26"/>
              </w:rPr>
              <w:t>có bằng thạc sỹ trở lên, có chuyên môn được đào tạo</w:t>
            </w:r>
            <w:r w:rsidRPr="001770C8">
              <w:rPr>
                <w:sz w:val="26"/>
                <w:szCs w:val="26"/>
              </w:rPr>
              <w:t xml:space="preserve"> phù hợp với chuyên ngành tư vấn và có từ 8 năm kinh nghiệm trở lên trong chuyên ngành tư vấn.</w:t>
            </w:r>
          </w:p>
          <w:p w14:paraId="7E7B7864" w14:textId="77777777" w:rsidR="001019BB" w:rsidRPr="001770C8" w:rsidRDefault="001019BB" w:rsidP="00176D7B">
            <w:pPr>
              <w:spacing w:before="120" w:after="120"/>
              <w:ind w:right="130" w:firstLine="130"/>
              <w:jc w:val="both"/>
              <w:rPr>
                <w:sz w:val="26"/>
                <w:szCs w:val="26"/>
              </w:rPr>
            </w:pPr>
            <w:r w:rsidRPr="001770C8">
              <w:rPr>
                <w:sz w:val="26"/>
                <w:szCs w:val="26"/>
              </w:rPr>
              <w:t>- Trưởng nhóm tư vấn hoặc chủ trì tổ chức, điều hành gói thầu tư vấn.</w:t>
            </w:r>
          </w:p>
        </w:tc>
        <w:tc>
          <w:tcPr>
            <w:tcW w:w="748" w:type="pct"/>
            <w:shd w:val="clear" w:color="auto" w:fill="FFFFFF"/>
            <w:vAlign w:val="center"/>
          </w:tcPr>
          <w:p w14:paraId="61C6882A" w14:textId="77777777" w:rsidR="001019BB" w:rsidRPr="001770C8" w:rsidRDefault="001019BB" w:rsidP="006E63BC">
            <w:pPr>
              <w:spacing w:before="120"/>
              <w:ind w:right="131"/>
              <w:jc w:val="center"/>
              <w:rPr>
                <w:sz w:val="26"/>
                <w:szCs w:val="26"/>
              </w:rPr>
            </w:pPr>
            <w:r w:rsidRPr="001770C8">
              <w:rPr>
                <w:sz w:val="26"/>
                <w:szCs w:val="26"/>
              </w:rPr>
              <w:t>Không vượt quá 1.500.000 đồng/ngày công</w:t>
            </w:r>
          </w:p>
        </w:tc>
      </w:tr>
      <w:tr w:rsidR="001770C8" w:rsidRPr="001770C8" w14:paraId="76C82B28" w14:textId="77777777" w:rsidTr="00DC7ADA">
        <w:trPr>
          <w:trHeight w:val="1715"/>
        </w:trPr>
        <w:tc>
          <w:tcPr>
            <w:tcW w:w="638" w:type="pct"/>
            <w:shd w:val="clear" w:color="auto" w:fill="FFFFFF"/>
            <w:vAlign w:val="center"/>
          </w:tcPr>
          <w:p w14:paraId="34C3447E" w14:textId="0866399D" w:rsidR="001019BB" w:rsidRPr="001770C8" w:rsidRDefault="001019BB" w:rsidP="001019BB">
            <w:pPr>
              <w:ind w:firstLine="5"/>
              <w:jc w:val="center"/>
              <w:rPr>
                <w:b/>
                <w:sz w:val="26"/>
                <w:szCs w:val="26"/>
              </w:rPr>
            </w:pPr>
            <w:r w:rsidRPr="001770C8">
              <w:rPr>
                <w:b/>
                <w:sz w:val="26"/>
                <w:szCs w:val="26"/>
              </w:rPr>
              <w:t>Nhóm II</w:t>
            </w:r>
          </w:p>
        </w:tc>
        <w:tc>
          <w:tcPr>
            <w:tcW w:w="3614" w:type="pct"/>
            <w:shd w:val="clear" w:color="auto" w:fill="FFFFFF"/>
            <w:vAlign w:val="center"/>
          </w:tcPr>
          <w:p w14:paraId="2F241A40" w14:textId="6B7DF410" w:rsidR="001019BB" w:rsidRPr="001770C8" w:rsidRDefault="001019BB" w:rsidP="00176D7B">
            <w:pPr>
              <w:spacing w:before="120" w:after="120"/>
              <w:ind w:right="284" w:firstLine="132"/>
              <w:jc w:val="both"/>
              <w:rPr>
                <w:sz w:val="26"/>
                <w:szCs w:val="26"/>
              </w:rPr>
            </w:pPr>
            <w:r w:rsidRPr="001770C8">
              <w:rPr>
                <w:sz w:val="26"/>
                <w:szCs w:val="26"/>
              </w:rPr>
              <w:t xml:space="preserve">- Chuyên gia tư vấn </w:t>
            </w:r>
            <w:r w:rsidR="00B577C7" w:rsidRPr="001770C8">
              <w:rPr>
                <w:sz w:val="26"/>
                <w:szCs w:val="26"/>
              </w:rPr>
              <w:t xml:space="preserve">có chuyên môn được đào tạo </w:t>
            </w:r>
            <w:r w:rsidRPr="001770C8">
              <w:rPr>
                <w:sz w:val="26"/>
                <w:szCs w:val="26"/>
                <w:lang w:val="vi-VN"/>
              </w:rPr>
              <w:t>phù hợp với</w:t>
            </w:r>
            <w:r w:rsidRPr="001770C8">
              <w:rPr>
                <w:sz w:val="26"/>
                <w:szCs w:val="26"/>
              </w:rPr>
              <w:t xml:space="preserve"> chuyên ngành tư vấn và có từ 10 đến dưới 15 năm kinh nghiệm trong chuyên ngành tư vấn.</w:t>
            </w:r>
          </w:p>
          <w:p w14:paraId="170FE617" w14:textId="7D3D0831" w:rsidR="001019BB" w:rsidRPr="001770C8" w:rsidRDefault="001019BB" w:rsidP="00176D7B">
            <w:pPr>
              <w:spacing w:before="120" w:after="120" w:line="240" w:lineRule="atLeast"/>
              <w:ind w:right="284" w:firstLine="178"/>
              <w:jc w:val="both"/>
              <w:rPr>
                <w:sz w:val="26"/>
                <w:szCs w:val="26"/>
              </w:rPr>
            </w:pPr>
            <w:r w:rsidRPr="001770C8">
              <w:rPr>
                <w:sz w:val="26"/>
                <w:szCs w:val="26"/>
              </w:rPr>
              <w:t xml:space="preserve">- Chuyên gia tư vấn </w:t>
            </w:r>
            <w:r w:rsidR="00B577C7" w:rsidRPr="001770C8">
              <w:rPr>
                <w:sz w:val="26"/>
                <w:szCs w:val="26"/>
              </w:rPr>
              <w:t>có bằng thạc sỹ trở lên, có chuyên môn được đào tạo</w:t>
            </w:r>
            <w:r w:rsidRPr="001770C8">
              <w:rPr>
                <w:sz w:val="26"/>
                <w:szCs w:val="26"/>
              </w:rPr>
              <w:t xml:space="preserve"> </w:t>
            </w:r>
            <w:r w:rsidRPr="001770C8">
              <w:rPr>
                <w:sz w:val="26"/>
                <w:szCs w:val="26"/>
                <w:lang w:val="vi-VN"/>
              </w:rPr>
              <w:t>phù hợp với</w:t>
            </w:r>
            <w:r w:rsidRPr="001770C8">
              <w:rPr>
                <w:sz w:val="26"/>
                <w:szCs w:val="26"/>
              </w:rPr>
              <w:t xml:space="preserve"> chuyên ngành tư vấn và có từ 5 đến dưới 8 năm kinh nghiệm trong chuyên ngành tư vấn.</w:t>
            </w:r>
          </w:p>
          <w:p w14:paraId="57FAB5DA" w14:textId="77777777" w:rsidR="001019BB" w:rsidRPr="001770C8" w:rsidRDefault="001019BB" w:rsidP="00176D7B">
            <w:pPr>
              <w:spacing w:before="120" w:after="120"/>
              <w:ind w:right="284" w:firstLine="132"/>
              <w:jc w:val="both"/>
              <w:rPr>
                <w:sz w:val="26"/>
                <w:szCs w:val="26"/>
              </w:rPr>
            </w:pPr>
            <w:r w:rsidRPr="001770C8">
              <w:rPr>
                <w:sz w:val="26"/>
                <w:szCs w:val="26"/>
              </w:rPr>
              <w:t>- Chủ trì một hoặc một số hạng mục thuộc gói thầu tư vấn.</w:t>
            </w:r>
          </w:p>
        </w:tc>
        <w:tc>
          <w:tcPr>
            <w:tcW w:w="748" w:type="pct"/>
            <w:shd w:val="clear" w:color="auto" w:fill="FFFFFF"/>
            <w:vAlign w:val="center"/>
          </w:tcPr>
          <w:p w14:paraId="481F608F" w14:textId="77777777" w:rsidR="001019BB" w:rsidRPr="001770C8" w:rsidRDefault="001019BB" w:rsidP="006E63BC">
            <w:pPr>
              <w:spacing w:before="120"/>
              <w:ind w:right="131"/>
              <w:jc w:val="center"/>
              <w:rPr>
                <w:sz w:val="26"/>
                <w:szCs w:val="26"/>
              </w:rPr>
            </w:pPr>
            <w:r w:rsidRPr="001770C8">
              <w:rPr>
                <w:sz w:val="26"/>
                <w:szCs w:val="26"/>
              </w:rPr>
              <w:t>Không vượt quá 1.150.000 đồng/ngày công</w:t>
            </w:r>
          </w:p>
        </w:tc>
      </w:tr>
      <w:tr w:rsidR="001770C8" w:rsidRPr="001770C8" w14:paraId="3637F97F" w14:textId="77777777" w:rsidTr="00DC7ADA">
        <w:trPr>
          <w:trHeight w:val="1517"/>
        </w:trPr>
        <w:tc>
          <w:tcPr>
            <w:tcW w:w="638" w:type="pct"/>
            <w:shd w:val="clear" w:color="auto" w:fill="FFFFFF"/>
            <w:vAlign w:val="center"/>
          </w:tcPr>
          <w:p w14:paraId="7B794828" w14:textId="54BCF115" w:rsidR="001019BB" w:rsidRPr="001770C8" w:rsidRDefault="001019BB" w:rsidP="001019BB">
            <w:pPr>
              <w:ind w:firstLine="5"/>
              <w:jc w:val="center"/>
              <w:rPr>
                <w:b/>
                <w:sz w:val="26"/>
                <w:szCs w:val="26"/>
              </w:rPr>
            </w:pPr>
            <w:r w:rsidRPr="001770C8">
              <w:rPr>
                <w:b/>
                <w:sz w:val="26"/>
                <w:szCs w:val="26"/>
              </w:rPr>
              <w:t>Nhóm III</w:t>
            </w:r>
          </w:p>
        </w:tc>
        <w:tc>
          <w:tcPr>
            <w:tcW w:w="3614" w:type="pct"/>
            <w:shd w:val="clear" w:color="auto" w:fill="FFFFFF"/>
            <w:vAlign w:val="center"/>
          </w:tcPr>
          <w:p w14:paraId="5F16CB9D" w14:textId="269B9B2B" w:rsidR="001019BB" w:rsidRPr="001770C8" w:rsidRDefault="001019BB" w:rsidP="00176D7B">
            <w:pPr>
              <w:spacing w:before="120" w:after="120"/>
              <w:ind w:right="284" w:firstLine="132"/>
              <w:jc w:val="both"/>
              <w:rPr>
                <w:sz w:val="26"/>
                <w:szCs w:val="26"/>
              </w:rPr>
            </w:pPr>
            <w:r w:rsidRPr="001770C8">
              <w:rPr>
                <w:sz w:val="26"/>
                <w:szCs w:val="26"/>
              </w:rPr>
              <w:t xml:space="preserve">- Chuyên gia tư vấn </w:t>
            </w:r>
            <w:r w:rsidR="00B577C7" w:rsidRPr="001770C8">
              <w:rPr>
                <w:sz w:val="26"/>
                <w:szCs w:val="26"/>
              </w:rPr>
              <w:t xml:space="preserve">có chuyên môn được đào tạo </w:t>
            </w:r>
            <w:r w:rsidRPr="001770C8">
              <w:rPr>
                <w:sz w:val="26"/>
                <w:szCs w:val="26"/>
                <w:lang w:val="vi-VN"/>
              </w:rPr>
              <w:t>phù hợp với</w:t>
            </w:r>
            <w:r w:rsidRPr="001770C8">
              <w:rPr>
                <w:sz w:val="26"/>
                <w:szCs w:val="26"/>
              </w:rPr>
              <w:t xml:space="preserve"> chuyên ngành tư vấn và có từ 5 đến dưới 10 năm kinh nghiệm trong chuyên ngành tư vấn.</w:t>
            </w:r>
          </w:p>
          <w:p w14:paraId="088E35FB" w14:textId="4F493B15" w:rsidR="001019BB" w:rsidRPr="001770C8" w:rsidRDefault="001019BB" w:rsidP="00176D7B">
            <w:pPr>
              <w:spacing w:before="120" w:after="120" w:line="240" w:lineRule="atLeast"/>
              <w:ind w:right="284" w:firstLine="178"/>
              <w:jc w:val="both"/>
              <w:rPr>
                <w:sz w:val="26"/>
                <w:szCs w:val="26"/>
                <w:lang w:val="vi-VN"/>
              </w:rPr>
            </w:pPr>
            <w:r w:rsidRPr="001770C8">
              <w:rPr>
                <w:sz w:val="26"/>
                <w:szCs w:val="26"/>
              </w:rPr>
              <w:t xml:space="preserve">- Chuyên gia tư vấn </w:t>
            </w:r>
            <w:r w:rsidR="00B577C7" w:rsidRPr="001770C8">
              <w:rPr>
                <w:sz w:val="26"/>
                <w:szCs w:val="26"/>
              </w:rPr>
              <w:t>có bằng thạc sỹ trở lên, có chuyên môn được đào tạo</w:t>
            </w:r>
            <w:r w:rsidRPr="001770C8">
              <w:rPr>
                <w:sz w:val="26"/>
                <w:szCs w:val="26"/>
              </w:rPr>
              <w:t xml:space="preserve"> </w:t>
            </w:r>
            <w:r w:rsidRPr="001770C8">
              <w:rPr>
                <w:sz w:val="26"/>
                <w:szCs w:val="26"/>
                <w:lang w:val="vi-VN"/>
              </w:rPr>
              <w:t>phù hợp với</w:t>
            </w:r>
            <w:r w:rsidRPr="001770C8">
              <w:rPr>
                <w:sz w:val="26"/>
                <w:szCs w:val="26"/>
              </w:rPr>
              <w:t xml:space="preserve"> chuyên ngành tư vấn và có từ 3 đến dưới 5 năm kinh nghiệm trong chuyên ngành tư vấn.</w:t>
            </w:r>
          </w:p>
        </w:tc>
        <w:tc>
          <w:tcPr>
            <w:tcW w:w="748" w:type="pct"/>
            <w:shd w:val="clear" w:color="auto" w:fill="FFFFFF"/>
            <w:vAlign w:val="center"/>
          </w:tcPr>
          <w:p w14:paraId="52B99FE5" w14:textId="77777777" w:rsidR="001019BB" w:rsidRPr="001770C8" w:rsidRDefault="001019BB" w:rsidP="006E63BC">
            <w:pPr>
              <w:spacing w:before="120"/>
              <w:ind w:right="131"/>
              <w:jc w:val="center"/>
              <w:rPr>
                <w:sz w:val="26"/>
                <w:szCs w:val="26"/>
              </w:rPr>
            </w:pPr>
            <w:r w:rsidRPr="001770C8">
              <w:rPr>
                <w:sz w:val="26"/>
                <w:szCs w:val="26"/>
              </w:rPr>
              <w:t>Không vượt quá 770.000 đồng/ngày công</w:t>
            </w:r>
          </w:p>
        </w:tc>
      </w:tr>
      <w:tr w:rsidR="001770C8" w:rsidRPr="001770C8" w14:paraId="023E9EAA" w14:textId="77777777" w:rsidTr="00DC7ADA">
        <w:trPr>
          <w:trHeight w:val="1490"/>
        </w:trPr>
        <w:tc>
          <w:tcPr>
            <w:tcW w:w="638" w:type="pct"/>
            <w:shd w:val="clear" w:color="auto" w:fill="FFFFFF"/>
            <w:vAlign w:val="center"/>
          </w:tcPr>
          <w:p w14:paraId="74F72521" w14:textId="6F79A38B" w:rsidR="001019BB" w:rsidRPr="001770C8" w:rsidRDefault="001019BB" w:rsidP="001019BB">
            <w:pPr>
              <w:ind w:firstLine="5"/>
              <w:jc w:val="center"/>
              <w:rPr>
                <w:b/>
                <w:sz w:val="26"/>
                <w:szCs w:val="26"/>
              </w:rPr>
            </w:pPr>
            <w:r w:rsidRPr="001770C8">
              <w:rPr>
                <w:b/>
                <w:sz w:val="26"/>
                <w:szCs w:val="26"/>
              </w:rPr>
              <w:t>Nhóm IV</w:t>
            </w:r>
          </w:p>
        </w:tc>
        <w:tc>
          <w:tcPr>
            <w:tcW w:w="3614" w:type="pct"/>
            <w:shd w:val="clear" w:color="auto" w:fill="FFFFFF"/>
            <w:vAlign w:val="center"/>
          </w:tcPr>
          <w:p w14:paraId="206F10C8" w14:textId="238E21AC" w:rsidR="001019BB" w:rsidRPr="001770C8" w:rsidRDefault="001019BB" w:rsidP="00176D7B">
            <w:pPr>
              <w:spacing w:before="120" w:after="120"/>
              <w:ind w:right="284" w:firstLine="132"/>
              <w:jc w:val="both"/>
              <w:rPr>
                <w:sz w:val="26"/>
                <w:szCs w:val="26"/>
              </w:rPr>
            </w:pPr>
            <w:r w:rsidRPr="001770C8">
              <w:rPr>
                <w:sz w:val="26"/>
                <w:szCs w:val="26"/>
              </w:rPr>
              <w:t xml:space="preserve">- Chuyên gia tư vấn </w:t>
            </w:r>
            <w:r w:rsidR="00B577C7" w:rsidRPr="001770C8">
              <w:rPr>
                <w:sz w:val="26"/>
                <w:szCs w:val="26"/>
              </w:rPr>
              <w:t xml:space="preserve">có chuyên môn được đào tạo </w:t>
            </w:r>
            <w:r w:rsidRPr="001770C8">
              <w:rPr>
                <w:sz w:val="26"/>
                <w:szCs w:val="26"/>
                <w:lang w:val="vi-VN"/>
              </w:rPr>
              <w:t>phù hợp với</w:t>
            </w:r>
            <w:r w:rsidRPr="001770C8">
              <w:rPr>
                <w:sz w:val="26"/>
                <w:szCs w:val="26"/>
              </w:rPr>
              <w:t xml:space="preserve"> chuyên ngành tư vấn và có dưới 5 năm kinh nghiệm trong chuyên ngành tư vấn.</w:t>
            </w:r>
          </w:p>
          <w:p w14:paraId="5FE392AF" w14:textId="3314F984" w:rsidR="001019BB" w:rsidRPr="001770C8" w:rsidRDefault="001019BB" w:rsidP="00176D7B">
            <w:pPr>
              <w:spacing w:before="120" w:after="120" w:line="240" w:lineRule="atLeast"/>
              <w:ind w:right="284" w:firstLine="178"/>
              <w:jc w:val="both"/>
              <w:rPr>
                <w:strike/>
                <w:sz w:val="26"/>
                <w:szCs w:val="26"/>
              </w:rPr>
            </w:pPr>
            <w:r w:rsidRPr="001770C8">
              <w:rPr>
                <w:sz w:val="26"/>
                <w:szCs w:val="26"/>
              </w:rPr>
              <w:t xml:space="preserve">- Chuyên gia tư vấn </w:t>
            </w:r>
            <w:r w:rsidR="00B577C7" w:rsidRPr="001770C8">
              <w:rPr>
                <w:sz w:val="26"/>
                <w:szCs w:val="26"/>
              </w:rPr>
              <w:t>có bằng thạc sỹ trở lên, có chuyên môn được đào tạo</w:t>
            </w:r>
            <w:r w:rsidR="00B577C7" w:rsidRPr="001770C8">
              <w:rPr>
                <w:sz w:val="26"/>
                <w:szCs w:val="26"/>
                <w:lang w:val="vi-VN"/>
              </w:rPr>
              <w:t xml:space="preserve"> </w:t>
            </w:r>
            <w:r w:rsidRPr="001770C8">
              <w:rPr>
                <w:sz w:val="26"/>
                <w:szCs w:val="26"/>
                <w:lang w:val="vi-VN"/>
              </w:rPr>
              <w:t>phù hợp với</w:t>
            </w:r>
            <w:r w:rsidRPr="001770C8">
              <w:rPr>
                <w:sz w:val="26"/>
                <w:szCs w:val="26"/>
              </w:rPr>
              <w:t xml:space="preserve"> chuyên ngành tư vấn và có dưới 3 năm kinh nghiệm trong chuyên ngành tư vấn.</w:t>
            </w:r>
          </w:p>
        </w:tc>
        <w:tc>
          <w:tcPr>
            <w:tcW w:w="748" w:type="pct"/>
            <w:shd w:val="clear" w:color="auto" w:fill="FFFFFF"/>
            <w:vAlign w:val="center"/>
          </w:tcPr>
          <w:p w14:paraId="387F2F19" w14:textId="77777777" w:rsidR="001019BB" w:rsidRPr="001770C8" w:rsidRDefault="001019BB" w:rsidP="006E63BC">
            <w:pPr>
              <w:spacing w:before="120"/>
              <w:ind w:right="131"/>
              <w:jc w:val="center"/>
              <w:rPr>
                <w:sz w:val="26"/>
                <w:szCs w:val="26"/>
              </w:rPr>
            </w:pPr>
            <w:r w:rsidRPr="001770C8">
              <w:rPr>
                <w:sz w:val="26"/>
                <w:szCs w:val="26"/>
              </w:rPr>
              <w:t>Không vượt quá 580.000 đồng/ngày công</w:t>
            </w:r>
          </w:p>
        </w:tc>
      </w:tr>
    </w:tbl>
    <w:p w14:paraId="54561A60" w14:textId="77777777" w:rsidR="001019BB" w:rsidRPr="001770C8" w:rsidRDefault="001019BB" w:rsidP="001019BB">
      <w:pPr>
        <w:spacing w:before="120"/>
        <w:ind w:firstLine="720"/>
        <w:jc w:val="both"/>
        <w:rPr>
          <w:b/>
          <w:i/>
          <w:iCs/>
        </w:rPr>
      </w:pPr>
    </w:p>
    <w:p w14:paraId="3759854C" w14:textId="35E9C676" w:rsidR="00CB2170" w:rsidRPr="001770C8" w:rsidRDefault="00CB2170" w:rsidP="001019BB">
      <w:pPr>
        <w:spacing w:before="120"/>
        <w:ind w:firstLine="720"/>
        <w:jc w:val="both"/>
        <w:rPr>
          <w:bCs/>
        </w:rPr>
      </w:pPr>
    </w:p>
    <w:sectPr w:rsidR="00CB2170" w:rsidRPr="001770C8" w:rsidSect="002C501A">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0A320" w14:textId="77777777" w:rsidR="002B4E92" w:rsidRDefault="002B4E92">
      <w:r>
        <w:separator/>
      </w:r>
    </w:p>
  </w:endnote>
  <w:endnote w:type="continuationSeparator" w:id="0">
    <w:p w14:paraId="474CCD11" w14:textId="77777777" w:rsidR="002B4E92" w:rsidRDefault="002B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1644" w14:textId="77777777" w:rsidR="009D31F6" w:rsidRDefault="009D31F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D250D0A" w14:textId="77777777" w:rsidR="009D31F6" w:rsidRDefault="009D31F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CA7C" w14:textId="77777777" w:rsidR="009D31F6" w:rsidRDefault="009D31F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94CAC" w14:textId="77777777" w:rsidR="002B4E92" w:rsidRDefault="002B4E92">
      <w:r>
        <w:separator/>
      </w:r>
    </w:p>
  </w:footnote>
  <w:footnote w:type="continuationSeparator" w:id="0">
    <w:p w14:paraId="1A7E903F" w14:textId="77777777" w:rsidR="002B4E92" w:rsidRDefault="002B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171675"/>
      <w:docPartObj>
        <w:docPartGallery w:val="Page Numbers (Top of Page)"/>
        <w:docPartUnique/>
      </w:docPartObj>
    </w:sdtPr>
    <w:sdtEndPr>
      <w:rPr>
        <w:noProof/>
      </w:rPr>
    </w:sdtEndPr>
    <w:sdtContent>
      <w:p w14:paraId="7DD25CB5" w14:textId="49700DF6" w:rsidR="009D31F6" w:rsidRPr="00DB1036" w:rsidRDefault="00B438B4">
        <w:pPr>
          <w:pStyle w:val="Header"/>
          <w:jc w:val="center"/>
        </w:pPr>
        <w:r w:rsidRPr="00DB1036">
          <w:t xml:space="preserve">VI - </w:t>
        </w:r>
        <w:r w:rsidR="009D31F6" w:rsidRPr="00DB1036">
          <w:fldChar w:fldCharType="begin"/>
        </w:r>
        <w:r w:rsidR="009D31F6" w:rsidRPr="00DB1036">
          <w:instrText xml:space="preserve"> PAGE   \* MERGEFORMAT </w:instrText>
        </w:r>
        <w:r w:rsidR="009D31F6" w:rsidRPr="00DB1036">
          <w:fldChar w:fldCharType="separate"/>
        </w:r>
        <w:r w:rsidR="00DB1036">
          <w:rPr>
            <w:noProof/>
          </w:rPr>
          <w:t>2</w:t>
        </w:r>
        <w:r w:rsidR="009D31F6" w:rsidRPr="00DB1036">
          <w:rPr>
            <w:noProof/>
          </w:rPr>
          <w:fldChar w:fldCharType="end"/>
        </w:r>
      </w:p>
    </w:sdtContent>
  </w:sdt>
  <w:p w14:paraId="0592D3A5" w14:textId="77777777" w:rsidR="009D31F6" w:rsidRDefault="009D3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C2D46"/>
    <w:multiLevelType w:val="hybridMultilevel"/>
    <w:tmpl w:val="F64C82D6"/>
    <w:lvl w:ilvl="0" w:tplc="CD2CA6B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4C42565"/>
    <w:multiLevelType w:val="hybridMultilevel"/>
    <w:tmpl w:val="0846B6F2"/>
    <w:lvl w:ilvl="0" w:tplc="E9D892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43058"/>
    <w:multiLevelType w:val="hybridMultilevel"/>
    <w:tmpl w:val="BC6E391E"/>
    <w:lvl w:ilvl="0" w:tplc="086688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B0C0796"/>
    <w:multiLevelType w:val="hybridMultilevel"/>
    <w:tmpl w:val="84B8FB60"/>
    <w:lvl w:ilvl="0" w:tplc="A3CA0D88">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69E5E07"/>
    <w:multiLevelType w:val="hybridMultilevel"/>
    <w:tmpl w:val="3B1C1686"/>
    <w:lvl w:ilvl="0" w:tplc="6FF445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activeWritingStyle w:appName="MSWord" w:lang="en-US" w:vendorID="64" w:dllVersion="409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fr-FR"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49"/>
    <w:rsid w:val="000013AE"/>
    <w:rsid w:val="00001D60"/>
    <w:rsid w:val="00002574"/>
    <w:rsid w:val="00003202"/>
    <w:rsid w:val="00004639"/>
    <w:rsid w:val="000062FC"/>
    <w:rsid w:val="000064BF"/>
    <w:rsid w:val="000077E8"/>
    <w:rsid w:val="000122C1"/>
    <w:rsid w:val="00013313"/>
    <w:rsid w:val="00022EE8"/>
    <w:rsid w:val="0002434D"/>
    <w:rsid w:val="00030FAD"/>
    <w:rsid w:val="00034013"/>
    <w:rsid w:val="000346EE"/>
    <w:rsid w:val="00036481"/>
    <w:rsid w:val="000416BB"/>
    <w:rsid w:val="00046A1F"/>
    <w:rsid w:val="00046A6E"/>
    <w:rsid w:val="0004796E"/>
    <w:rsid w:val="00051163"/>
    <w:rsid w:val="00052A13"/>
    <w:rsid w:val="00052D23"/>
    <w:rsid w:val="00053E5C"/>
    <w:rsid w:val="000613C2"/>
    <w:rsid w:val="000613FF"/>
    <w:rsid w:val="00061E32"/>
    <w:rsid w:val="00062791"/>
    <w:rsid w:val="00062A46"/>
    <w:rsid w:val="0006321F"/>
    <w:rsid w:val="0006378B"/>
    <w:rsid w:val="00063846"/>
    <w:rsid w:val="0007042E"/>
    <w:rsid w:val="00071460"/>
    <w:rsid w:val="000739C1"/>
    <w:rsid w:val="000743FC"/>
    <w:rsid w:val="00075141"/>
    <w:rsid w:val="00075A51"/>
    <w:rsid w:val="00076562"/>
    <w:rsid w:val="00076ED7"/>
    <w:rsid w:val="00080047"/>
    <w:rsid w:val="00080764"/>
    <w:rsid w:val="00081512"/>
    <w:rsid w:val="00081C77"/>
    <w:rsid w:val="0008232E"/>
    <w:rsid w:val="00083972"/>
    <w:rsid w:val="00084507"/>
    <w:rsid w:val="00084F74"/>
    <w:rsid w:val="000867BE"/>
    <w:rsid w:val="00090492"/>
    <w:rsid w:val="00091214"/>
    <w:rsid w:val="000916A4"/>
    <w:rsid w:val="00091C70"/>
    <w:rsid w:val="00092017"/>
    <w:rsid w:val="0009275F"/>
    <w:rsid w:val="000932B8"/>
    <w:rsid w:val="00095104"/>
    <w:rsid w:val="000959D8"/>
    <w:rsid w:val="00096025"/>
    <w:rsid w:val="00097145"/>
    <w:rsid w:val="000A08DB"/>
    <w:rsid w:val="000A20A5"/>
    <w:rsid w:val="000A2B8E"/>
    <w:rsid w:val="000A41D1"/>
    <w:rsid w:val="000A71A1"/>
    <w:rsid w:val="000A7810"/>
    <w:rsid w:val="000B0D9A"/>
    <w:rsid w:val="000B20AB"/>
    <w:rsid w:val="000B20BB"/>
    <w:rsid w:val="000B40EF"/>
    <w:rsid w:val="000B4607"/>
    <w:rsid w:val="000B50D8"/>
    <w:rsid w:val="000B51AC"/>
    <w:rsid w:val="000B5554"/>
    <w:rsid w:val="000B6996"/>
    <w:rsid w:val="000C09B8"/>
    <w:rsid w:val="000C3CB7"/>
    <w:rsid w:val="000C4535"/>
    <w:rsid w:val="000C4706"/>
    <w:rsid w:val="000C60D1"/>
    <w:rsid w:val="000C6E74"/>
    <w:rsid w:val="000C6F84"/>
    <w:rsid w:val="000C7AC9"/>
    <w:rsid w:val="000C7BC1"/>
    <w:rsid w:val="000D0840"/>
    <w:rsid w:val="000D2FA7"/>
    <w:rsid w:val="000D4D96"/>
    <w:rsid w:val="000D6F55"/>
    <w:rsid w:val="000E1D80"/>
    <w:rsid w:val="000E25C7"/>
    <w:rsid w:val="000E40D6"/>
    <w:rsid w:val="000E472E"/>
    <w:rsid w:val="000E5C60"/>
    <w:rsid w:val="000E6910"/>
    <w:rsid w:val="000F3C9E"/>
    <w:rsid w:val="000F6082"/>
    <w:rsid w:val="000F6136"/>
    <w:rsid w:val="0010017D"/>
    <w:rsid w:val="001019BB"/>
    <w:rsid w:val="00102EEB"/>
    <w:rsid w:val="00104EE2"/>
    <w:rsid w:val="00105120"/>
    <w:rsid w:val="00107C93"/>
    <w:rsid w:val="001115E5"/>
    <w:rsid w:val="001118E4"/>
    <w:rsid w:val="001131A2"/>
    <w:rsid w:val="001137DC"/>
    <w:rsid w:val="00113887"/>
    <w:rsid w:val="00120248"/>
    <w:rsid w:val="00120BD5"/>
    <w:rsid w:val="00121E66"/>
    <w:rsid w:val="00124834"/>
    <w:rsid w:val="001276B1"/>
    <w:rsid w:val="001301DC"/>
    <w:rsid w:val="0013046B"/>
    <w:rsid w:val="00130D43"/>
    <w:rsid w:val="00131D9D"/>
    <w:rsid w:val="00131FA7"/>
    <w:rsid w:val="00132783"/>
    <w:rsid w:val="00132D66"/>
    <w:rsid w:val="00133CC8"/>
    <w:rsid w:val="00134A9D"/>
    <w:rsid w:val="00136B43"/>
    <w:rsid w:val="00137950"/>
    <w:rsid w:val="00142BD1"/>
    <w:rsid w:val="0014342F"/>
    <w:rsid w:val="00143592"/>
    <w:rsid w:val="00143694"/>
    <w:rsid w:val="00144C47"/>
    <w:rsid w:val="00146678"/>
    <w:rsid w:val="00147D4F"/>
    <w:rsid w:val="00150B5A"/>
    <w:rsid w:val="0015331D"/>
    <w:rsid w:val="00157229"/>
    <w:rsid w:val="00157474"/>
    <w:rsid w:val="00157E90"/>
    <w:rsid w:val="001601F9"/>
    <w:rsid w:val="00160AC1"/>
    <w:rsid w:val="00160FEA"/>
    <w:rsid w:val="00161D17"/>
    <w:rsid w:val="0016328D"/>
    <w:rsid w:val="00163B00"/>
    <w:rsid w:val="00164312"/>
    <w:rsid w:val="001647E9"/>
    <w:rsid w:val="001655B0"/>
    <w:rsid w:val="00165E65"/>
    <w:rsid w:val="00170BB9"/>
    <w:rsid w:val="00170C1B"/>
    <w:rsid w:val="00173A51"/>
    <w:rsid w:val="001756A3"/>
    <w:rsid w:val="00176D7B"/>
    <w:rsid w:val="00176E9F"/>
    <w:rsid w:val="001770C8"/>
    <w:rsid w:val="0018050D"/>
    <w:rsid w:val="00181ADA"/>
    <w:rsid w:val="00182BF1"/>
    <w:rsid w:val="001832D9"/>
    <w:rsid w:val="00183E81"/>
    <w:rsid w:val="00186126"/>
    <w:rsid w:val="00186C74"/>
    <w:rsid w:val="00187339"/>
    <w:rsid w:val="00191845"/>
    <w:rsid w:val="00191DC8"/>
    <w:rsid w:val="00192040"/>
    <w:rsid w:val="00193105"/>
    <w:rsid w:val="001964CF"/>
    <w:rsid w:val="00196E19"/>
    <w:rsid w:val="001A0D0F"/>
    <w:rsid w:val="001A12C3"/>
    <w:rsid w:val="001A2575"/>
    <w:rsid w:val="001A30AB"/>
    <w:rsid w:val="001A419C"/>
    <w:rsid w:val="001A5569"/>
    <w:rsid w:val="001A5F00"/>
    <w:rsid w:val="001A68EF"/>
    <w:rsid w:val="001B17DE"/>
    <w:rsid w:val="001B1D07"/>
    <w:rsid w:val="001B4439"/>
    <w:rsid w:val="001C22AA"/>
    <w:rsid w:val="001C2893"/>
    <w:rsid w:val="001C2F02"/>
    <w:rsid w:val="001C770F"/>
    <w:rsid w:val="001C7870"/>
    <w:rsid w:val="001C7E33"/>
    <w:rsid w:val="001D0E5A"/>
    <w:rsid w:val="001D20C9"/>
    <w:rsid w:val="001D2B5A"/>
    <w:rsid w:val="001D3308"/>
    <w:rsid w:val="001D336A"/>
    <w:rsid w:val="001D3D46"/>
    <w:rsid w:val="001D4914"/>
    <w:rsid w:val="001D59C7"/>
    <w:rsid w:val="001D600A"/>
    <w:rsid w:val="001D66B9"/>
    <w:rsid w:val="001D68B6"/>
    <w:rsid w:val="001E1810"/>
    <w:rsid w:val="001E1B3B"/>
    <w:rsid w:val="001E256A"/>
    <w:rsid w:val="001E2E82"/>
    <w:rsid w:val="001E3F2E"/>
    <w:rsid w:val="001E44C4"/>
    <w:rsid w:val="001E4F18"/>
    <w:rsid w:val="001E5C61"/>
    <w:rsid w:val="001E69C5"/>
    <w:rsid w:val="001F1118"/>
    <w:rsid w:val="001F1A3E"/>
    <w:rsid w:val="001F1A77"/>
    <w:rsid w:val="001F1F4C"/>
    <w:rsid w:val="001F2C16"/>
    <w:rsid w:val="001F41FD"/>
    <w:rsid w:val="001F422F"/>
    <w:rsid w:val="001F7006"/>
    <w:rsid w:val="001F7D13"/>
    <w:rsid w:val="001F7D45"/>
    <w:rsid w:val="002000EC"/>
    <w:rsid w:val="00201170"/>
    <w:rsid w:val="002025C5"/>
    <w:rsid w:val="00202A67"/>
    <w:rsid w:val="00203A3F"/>
    <w:rsid w:val="00205149"/>
    <w:rsid w:val="00206726"/>
    <w:rsid w:val="00207510"/>
    <w:rsid w:val="00207F0F"/>
    <w:rsid w:val="00210DD3"/>
    <w:rsid w:val="00212375"/>
    <w:rsid w:val="002129A9"/>
    <w:rsid w:val="00212A15"/>
    <w:rsid w:val="00212E60"/>
    <w:rsid w:val="00213B55"/>
    <w:rsid w:val="00213BBB"/>
    <w:rsid w:val="00213C11"/>
    <w:rsid w:val="00214392"/>
    <w:rsid w:val="00214698"/>
    <w:rsid w:val="00215868"/>
    <w:rsid w:val="0021617E"/>
    <w:rsid w:val="00216439"/>
    <w:rsid w:val="0021697B"/>
    <w:rsid w:val="0021747F"/>
    <w:rsid w:val="0022104D"/>
    <w:rsid w:val="002240C8"/>
    <w:rsid w:val="002248BF"/>
    <w:rsid w:val="0022517C"/>
    <w:rsid w:val="0022647B"/>
    <w:rsid w:val="002266A8"/>
    <w:rsid w:val="002267B7"/>
    <w:rsid w:val="002271E7"/>
    <w:rsid w:val="00227C0F"/>
    <w:rsid w:val="00230E72"/>
    <w:rsid w:val="00230F89"/>
    <w:rsid w:val="002320B0"/>
    <w:rsid w:val="00233884"/>
    <w:rsid w:val="00237B6C"/>
    <w:rsid w:val="0024137B"/>
    <w:rsid w:val="00241CCF"/>
    <w:rsid w:val="00241D65"/>
    <w:rsid w:val="0024221B"/>
    <w:rsid w:val="00242520"/>
    <w:rsid w:val="00245744"/>
    <w:rsid w:val="00250D44"/>
    <w:rsid w:val="00253BFE"/>
    <w:rsid w:val="00254751"/>
    <w:rsid w:val="00254C95"/>
    <w:rsid w:val="0026003F"/>
    <w:rsid w:val="00260C6D"/>
    <w:rsid w:val="002610B8"/>
    <w:rsid w:val="00261948"/>
    <w:rsid w:val="002624A3"/>
    <w:rsid w:val="00264088"/>
    <w:rsid w:val="002649ED"/>
    <w:rsid w:val="002652F8"/>
    <w:rsid w:val="002657BD"/>
    <w:rsid w:val="00267EB0"/>
    <w:rsid w:val="0027082C"/>
    <w:rsid w:val="00270F8F"/>
    <w:rsid w:val="002714B6"/>
    <w:rsid w:val="00272308"/>
    <w:rsid w:val="00272AD2"/>
    <w:rsid w:val="00273448"/>
    <w:rsid w:val="002739FC"/>
    <w:rsid w:val="00274DA1"/>
    <w:rsid w:val="00274EFE"/>
    <w:rsid w:val="00276E67"/>
    <w:rsid w:val="0027716D"/>
    <w:rsid w:val="00282D79"/>
    <w:rsid w:val="00282E51"/>
    <w:rsid w:val="002841F4"/>
    <w:rsid w:val="00284626"/>
    <w:rsid w:val="00284DBE"/>
    <w:rsid w:val="0028779B"/>
    <w:rsid w:val="00290D5A"/>
    <w:rsid w:val="00290F99"/>
    <w:rsid w:val="00292BE4"/>
    <w:rsid w:val="00292FC1"/>
    <w:rsid w:val="00293471"/>
    <w:rsid w:val="002937B6"/>
    <w:rsid w:val="002957F4"/>
    <w:rsid w:val="00296258"/>
    <w:rsid w:val="002A07D8"/>
    <w:rsid w:val="002A1AA6"/>
    <w:rsid w:val="002A1E53"/>
    <w:rsid w:val="002A2A4E"/>
    <w:rsid w:val="002A2CB4"/>
    <w:rsid w:val="002A3258"/>
    <w:rsid w:val="002A462B"/>
    <w:rsid w:val="002A5070"/>
    <w:rsid w:val="002A5145"/>
    <w:rsid w:val="002A6201"/>
    <w:rsid w:val="002B1755"/>
    <w:rsid w:val="002B20CA"/>
    <w:rsid w:val="002B3670"/>
    <w:rsid w:val="002B456A"/>
    <w:rsid w:val="002B47A5"/>
    <w:rsid w:val="002B4B30"/>
    <w:rsid w:val="002B4E92"/>
    <w:rsid w:val="002B4F9D"/>
    <w:rsid w:val="002B5483"/>
    <w:rsid w:val="002B5BE9"/>
    <w:rsid w:val="002C0C52"/>
    <w:rsid w:val="002C158C"/>
    <w:rsid w:val="002C3C9B"/>
    <w:rsid w:val="002C3D73"/>
    <w:rsid w:val="002C4524"/>
    <w:rsid w:val="002C4739"/>
    <w:rsid w:val="002C501A"/>
    <w:rsid w:val="002C5683"/>
    <w:rsid w:val="002C6BD7"/>
    <w:rsid w:val="002D536B"/>
    <w:rsid w:val="002D6DBA"/>
    <w:rsid w:val="002D76A9"/>
    <w:rsid w:val="002E05A4"/>
    <w:rsid w:val="002E174F"/>
    <w:rsid w:val="002E1F2E"/>
    <w:rsid w:val="002E1F58"/>
    <w:rsid w:val="002E422D"/>
    <w:rsid w:val="002E4F4E"/>
    <w:rsid w:val="002E7847"/>
    <w:rsid w:val="002F0E26"/>
    <w:rsid w:val="002F3CEA"/>
    <w:rsid w:val="002F4B72"/>
    <w:rsid w:val="002F5952"/>
    <w:rsid w:val="002F7092"/>
    <w:rsid w:val="0030015B"/>
    <w:rsid w:val="00302AF0"/>
    <w:rsid w:val="00303D03"/>
    <w:rsid w:val="0030475D"/>
    <w:rsid w:val="00305F8C"/>
    <w:rsid w:val="003060AD"/>
    <w:rsid w:val="00306163"/>
    <w:rsid w:val="00306BD1"/>
    <w:rsid w:val="0030773E"/>
    <w:rsid w:val="00307A33"/>
    <w:rsid w:val="00307F53"/>
    <w:rsid w:val="003118CA"/>
    <w:rsid w:val="00311D5F"/>
    <w:rsid w:val="003122F0"/>
    <w:rsid w:val="003133AD"/>
    <w:rsid w:val="00313ED5"/>
    <w:rsid w:val="0031572A"/>
    <w:rsid w:val="00315911"/>
    <w:rsid w:val="00315E5D"/>
    <w:rsid w:val="00316CDE"/>
    <w:rsid w:val="003170F7"/>
    <w:rsid w:val="00323637"/>
    <w:rsid w:val="0032449B"/>
    <w:rsid w:val="003245AA"/>
    <w:rsid w:val="0032592B"/>
    <w:rsid w:val="00330830"/>
    <w:rsid w:val="0033123A"/>
    <w:rsid w:val="0033175E"/>
    <w:rsid w:val="00331C75"/>
    <w:rsid w:val="00331F3A"/>
    <w:rsid w:val="003334CB"/>
    <w:rsid w:val="0033376D"/>
    <w:rsid w:val="00333D34"/>
    <w:rsid w:val="0033435A"/>
    <w:rsid w:val="003345BC"/>
    <w:rsid w:val="00342972"/>
    <w:rsid w:val="00342AE6"/>
    <w:rsid w:val="00343ADF"/>
    <w:rsid w:val="00346217"/>
    <w:rsid w:val="00347CCF"/>
    <w:rsid w:val="00352735"/>
    <w:rsid w:val="00353161"/>
    <w:rsid w:val="0035499E"/>
    <w:rsid w:val="00355924"/>
    <w:rsid w:val="003559C3"/>
    <w:rsid w:val="00360ADD"/>
    <w:rsid w:val="00362004"/>
    <w:rsid w:val="0036307F"/>
    <w:rsid w:val="0036341F"/>
    <w:rsid w:val="00363915"/>
    <w:rsid w:val="00363EA5"/>
    <w:rsid w:val="00364C07"/>
    <w:rsid w:val="00372562"/>
    <w:rsid w:val="003764BC"/>
    <w:rsid w:val="00383A45"/>
    <w:rsid w:val="0038434A"/>
    <w:rsid w:val="00386261"/>
    <w:rsid w:val="00386911"/>
    <w:rsid w:val="00386936"/>
    <w:rsid w:val="00386E45"/>
    <w:rsid w:val="00390746"/>
    <w:rsid w:val="00391209"/>
    <w:rsid w:val="00392643"/>
    <w:rsid w:val="00392C75"/>
    <w:rsid w:val="003930E3"/>
    <w:rsid w:val="00394FCD"/>
    <w:rsid w:val="00395203"/>
    <w:rsid w:val="00395613"/>
    <w:rsid w:val="00395AFA"/>
    <w:rsid w:val="00395C7C"/>
    <w:rsid w:val="0039726F"/>
    <w:rsid w:val="003A18BF"/>
    <w:rsid w:val="003A192E"/>
    <w:rsid w:val="003A2C29"/>
    <w:rsid w:val="003A3A6C"/>
    <w:rsid w:val="003A69CB"/>
    <w:rsid w:val="003B21DD"/>
    <w:rsid w:val="003B553D"/>
    <w:rsid w:val="003B6AB3"/>
    <w:rsid w:val="003C0645"/>
    <w:rsid w:val="003C0934"/>
    <w:rsid w:val="003C20D9"/>
    <w:rsid w:val="003C3909"/>
    <w:rsid w:val="003C659C"/>
    <w:rsid w:val="003C7D78"/>
    <w:rsid w:val="003D1E36"/>
    <w:rsid w:val="003D22E4"/>
    <w:rsid w:val="003E01C6"/>
    <w:rsid w:val="003E2993"/>
    <w:rsid w:val="003E3F70"/>
    <w:rsid w:val="003E4528"/>
    <w:rsid w:val="003E4ADA"/>
    <w:rsid w:val="003E54D8"/>
    <w:rsid w:val="003E6BD2"/>
    <w:rsid w:val="003E7335"/>
    <w:rsid w:val="003E7A4F"/>
    <w:rsid w:val="003F01C5"/>
    <w:rsid w:val="003F0D00"/>
    <w:rsid w:val="003F2AF4"/>
    <w:rsid w:val="003F2CE2"/>
    <w:rsid w:val="003F48D2"/>
    <w:rsid w:val="003F5802"/>
    <w:rsid w:val="003F5E28"/>
    <w:rsid w:val="003F5FE1"/>
    <w:rsid w:val="004015A5"/>
    <w:rsid w:val="004019AA"/>
    <w:rsid w:val="00404970"/>
    <w:rsid w:val="00404F31"/>
    <w:rsid w:val="0040562F"/>
    <w:rsid w:val="00406072"/>
    <w:rsid w:val="0040667F"/>
    <w:rsid w:val="00406B42"/>
    <w:rsid w:val="00407D2E"/>
    <w:rsid w:val="00412831"/>
    <w:rsid w:val="0041287E"/>
    <w:rsid w:val="00412C76"/>
    <w:rsid w:val="00413CE1"/>
    <w:rsid w:val="00415711"/>
    <w:rsid w:val="00415A7D"/>
    <w:rsid w:val="004165F9"/>
    <w:rsid w:val="0042058C"/>
    <w:rsid w:val="004208C8"/>
    <w:rsid w:val="004208D0"/>
    <w:rsid w:val="004212D6"/>
    <w:rsid w:val="004226BB"/>
    <w:rsid w:val="0042288F"/>
    <w:rsid w:val="004235B3"/>
    <w:rsid w:val="00423CA1"/>
    <w:rsid w:val="004270A7"/>
    <w:rsid w:val="00427663"/>
    <w:rsid w:val="00427ABB"/>
    <w:rsid w:val="00427FB3"/>
    <w:rsid w:val="00430F0A"/>
    <w:rsid w:val="0043267C"/>
    <w:rsid w:val="004335B8"/>
    <w:rsid w:val="00435662"/>
    <w:rsid w:val="00436F91"/>
    <w:rsid w:val="004379FF"/>
    <w:rsid w:val="0044007E"/>
    <w:rsid w:val="00440578"/>
    <w:rsid w:val="00440E09"/>
    <w:rsid w:val="00440E0B"/>
    <w:rsid w:val="00441C60"/>
    <w:rsid w:val="0044367B"/>
    <w:rsid w:val="00445820"/>
    <w:rsid w:val="0044647B"/>
    <w:rsid w:val="00446ADB"/>
    <w:rsid w:val="004475CE"/>
    <w:rsid w:val="00450488"/>
    <w:rsid w:val="004506D9"/>
    <w:rsid w:val="00450A2B"/>
    <w:rsid w:val="00451506"/>
    <w:rsid w:val="00452F2B"/>
    <w:rsid w:val="0045334F"/>
    <w:rsid w:val="00453543"/>
    <w:rsid w:val="0045431D"/>
    <w:rsid w:val="0045604D"/>
    <w:rsid w:val="00456FEE"/>
    <w:rsid w:val="00462325"/>
    <w:rsid w:val="00464DB5"/>
    <w:rsid w:val="00466629"/>
    <w:rsid w:val="00466EF8"/>
    <w:rsid w:val="00467DFF"/>
    <w:rsid w:val="00470931"/>
    <w:rsid w:val="00471EF7"/>
    <w:rsid w:val="004720D4"/>
    <w:rsid w:val="00474A3C"/>
    <w:rsid w:val="0047513A"/>
    <w:rsid w:val="004761B4"/>
    <w:rsid w:val="00477009"/>
    <w:rsid w:val="004817A8"/>
    <w:rsid w:val="004825CF"/>
    <w:rsid w:val="00485245"/>
    <w:rsid w:val="004861AC"/>
    <w:rsid w:val="0048705E"/>
    <w:rsid w:val="00487545"/>
    <w:rsid w:val="00487A7D"/>
    <w:rsid w:val="00487D6A"/>
    <w:rsid w:val="00491FD7"/>
    <w:rsid w:val="0049238B"/>
    <w:rsid w:val="00492690"/>
    <w:rsid w:val="00493253"/>
    <w:rsid w:val="00495963"/>
    <w:rsid w:val="004960C3"/>
    <w:rsid w:val="004A4924"/>
    <w:rsid w:val="004A5261"/>
    <w:rsid w:val="004A6BF1"/>
    <w:rsid w:val="004B1403"/>
    <w:rsid w:val="004B2507"/>
    <w:rsid w:val="004B32C6"/>
    <w:rsid w:val="004B48F1"/>
    <w:rsid w:val="004B5494"/>
    <w:rsid w:val="004B69D3"/>
    <w:rsid w:val="004C002E"/>
    <w:rsid w:val="004C72C5"/>
    <w:rsid w:val="004D46CE"/>
    <w:rsid w:val="004D4780"/>
    <w:rsid w:val="004D4D91"/>
    <w:rsid w:val="004D7583"/>
    <w:rsid w:val="004E17C5"/>
    <w:rsid w:val="004E2FCD"/>
    <w:rsid w:val="004E4499"/>
    <w:rsid w:val="004E4BA2"/>
    <w:rsid w:val="004E758D"/>
    <w:rsid w:val="004F0E25"/>
    <w:rsid w:val="004F125A"/>
    <w:rsid w:val="004F17E6"/>
    <w:rsid w:val="004F1EA4"/>
    <w:rsid w:val="004F2BF5"/>
    <w:rsid w:val="004F33A9"/>
    <w:rsid w:val="004F3FC3"/>
    <w:rsid w:val="004F4674"/>
    <w:rsid w:val="004F593F"/>
    <w:rsid w:val="004F754C"/>
    <w:rsid w:val="004F765B"/>
    <w:rsid w:val="00501515"/>
    <w:rsid w:val="00501E9B"/>
    <w:rsid w:val="00502AF4"/>
    <w:rsid w:val="0050354F"/>
    <w:rsid w:val="005036CA"/>
    <w:rsid w:val="005063EA"/>
    <w:rsid w:val="005065CE"/>
    <w:rsid w:val="0050743D"/>
    <w:rsid w:val="00507E96"/>
    <w:rsid w:val="00511E77"/>
    <w:rsid w:val="005128B5"/>
    <w:rsid w:val="00512FE5"/>
    <w:rsid w:val="0051310E"/>
    <w:rsid w:val="0051368A"/>
    <w:rsid w:val="00514449"/>
    <w:rsid w:val="00515402"/>
    <w:rsid w:val="00516035"/>
    <w:rsid w:val="00516117"/>
    <w:rsid w:val="005164EB"/>
    <w:rsid w:val="00516B99"/>
    <w:rsid w:val="00516BC0"/>
    <w:rsid w:val="0051711B"/>
    <w:rsid w:val="00520B09"/>
    <w:rsid w:val="00522239"/>
    <w:rsid w:val="00522428"/>
    <w:rsid w:val="00524BE7"/>
    <w:rsid w:val="00524D73"/>
    <w:rsid w:val="005265F8"/>
    <w:rsid w:val="00527D93"/>
    <w:rsid w:val="00530A76"/>
    <w:rsid w:val="0053177A"/>
    <w:rsid w:val="00532032"/>
    <w:rsid w:val="005328AE"/>
    <w:rsid w:val="00532EB7"/>
    <w:rsid w:val="00533F5E"/>
    <w:rsid w:val="005341A9"/>
    <w:rsid w:val="005344F2"/>
    <w:rsid w:val="00534D83"/>
    <w:rsid w:val="005361F2"/>
    <w:rsid w:val="00536D9D"/>
    <w:rsid w:val="0053777F"/>
    <w:rsid w:val="00537805"/>
    <w:rsid w:val="00537ED4"/>
    <w:rsid w:val="00542D62"/>
    <w:rsid w:val="00543FCE"/>
    <w:rsid w:val="00544D6B"/>
    <w:rsid w:val="005450FB"/>
    <w:rsid w:val="00547DA9"/>
    <w:rsid w:val="00550818"/>
    <w:rsid w:val="00550843"/>
    <w:rsid w:val="00550BB0"/>
    <w:rsid w:val="00551258"/>
    <w:rsid w:val="00556A21"/>
    <w:rsid w:val="00556AEF"/>
    <w:rsid w:val="0056045C"/>
    <w:rsid w:val="00565130"/>
    <w:rsid w:val="00566896"/>
    <w:rsid w:val="0056777A"/>
    <w:rsid w:val="00571011"/>
    <w:rsid w:val="0057288B"/>
    <w:rsid w:val="00574EFB"/>
    <w:rsid w:val="00575DD0"/>
    <w:rsid w:val="0057620A"/>
    <w:rsid w:val="00576720"/>
    <w:rsid w:val="00577535"/>
    <w:rsid w:val="0058021E"/>
    <w:rsid w:val="00580299"/>
    <w:rsid w:val="00581D38"/>
    <w:rsid w:val="00581DD0"/>
    <w:rsid w:val="00582239"/>
    <w:rsid w:val="00582821"/>
    <w:rsid w:val="005841D6"/>
    <w:rsid w:val="00584BD4"/>
    <w:rsid w:val="00585D45"/>
    <w:rsid w:val="00585F75"/>
    <w:rsid w:val="005860B3"/>
    <w:rsid w:val="0059039D"/>
    <w:rsid w:val="00591077"/>
    <w:rsid w:val="00596FC2"/>
    <w:rsid w:val="005A3917"/>
    <w:rsid w:val="005A397A"/>
    <w:rsid w:val="005A6C53"/>
    <w:rsid w:val="005A7364"/>
    <w:rsid w:val="005B08A9"/>
    <w:rsid w:val="005B0F75"/>
    <w:rsid w:val="005B4D42"/>
    <w:rsid w:val="005B5B05"/>
    <w:rsid w:val="005C1360"/>
    <w:rsid w:val="005C1994"/>
    <w:rsid w:val="005C2553"/>
    <w:rsid w:val="005C2AF1"/>
    <w:rsid w:val="005C42B9"/>
    <w:rsid w:val="005C4A0B"/>
    <w:rsid w:val="005C4B31"/>
    <w:rsid w:val="005C6A8C"/>
    <w:rsid w:val="005C6C5A"/>
    <w:rsid w:val="005C74E6"/>
    <w:rsid w:val="005D15A2"/>
    <w:rsid w:val="005D2908"/>
    <w:rsid w:val="005D6323"/>
    <w:rsid w:val="005D75A7"/>
    <w:rsid w:val="005D79D4"/>
    <w:rsid w:val="005D7C74"/>
    <w:rsid w:val="005E0A98"/>
    <w:rsid w:val="005E24CF"/>
    <w:rsid w:val="005E3FC0"/>
    <w:rsid w:val="005E4545"/>
    <w:rsid w:val="005E66D9"/>
    <w:rsid w:val="005E7DA4"/>
    <w:rsid w:val="005F06D1"/>
    <w:rsid w:val="005F0CD0"/>
    <w:rsid w:val="005F2A51"/>
    <w:rsid w:val="005F46F1"/>
    <w:rsid w:val="005F4D2A"/>
    <w:rsid w:val="005F5034"/>
    <w:rsid w:val="005F5C70"/>
    <w:rsid w:val="005F642E"/>
    <w:rsid w:val="005F68FB"/>
    <w:rsid w:val="005F6E3F"/>
    <w:rsid w:val="005F7EE0"/>
    <w:rsid w:val="00602FDA"/>
    <w:rsid w:val="00603B93"/>
    <w:rsid w:val="00603BD1"/>
    <w:rsid w:val="006049BA"/>
    <w:rsid w:val="00604C99"/>
    <w:rsid w:val="00605E74"/>
    <w:rsid w:val="00607034"/>
    <w:rsid w:val="006077FE"/>
    <w:rsid w:val="006107EA"/>
    <w:rsid w:val="006123B9"/>
    <w:rsid w:val="0061286D"/>
    <w:rsid w:val="00613227"/>
    <w:rsid w:val="006141BF"/>
    <w:rsid w:val="00614744"/>
    <w:rsid w:val="0061514C"/>
    <w:rsid w:val="00617F03"/>
    <w:rsid w:val="006207F9"/>
    <w:rsid w:val="00622A96"/>
    <w:rsid w:val="00625A3B"/>
    <w:rsid w:val="0062697B"/>
    <w:rsid w:val="00626FE4"/>
    <w:rsid w:val="0062771E"/>
    <w:rsid w:val="00627B8D"/>
    <w:rsid w:val="00631134"/>
    <w:rsid w:val="00632703"/>
    <w:rsid w:val="00632DAC"/>
    <w:rsid w:val="00633182"/>
    <w:rsid w:val="006346E3"/>
    <w:rsid w:val="006360B9"/>
    <w:rsid w:val="00636258"/>
    <w:rsid w:val="00637184"/>
    <w:rsid w:val="0063726E"/>
    <w:rsid w:val="0063794B"/>
    <w:rsid w:val="00637CD4"/>
    <w:rsid w:val="00637DDB"/>
    <w:rsid w:val="0064073D"/>
    <w:rsid w:val="0064214D"/>
    <w:rsid w:val="006430DF"/>
    <w:rsid w:val="00647693"/>
    <w:rsid w:val="00652409"/>
    <w:rsid w:val="006532B6"/>
    <w:rsid w:val="00653BFC"/>
    <w:rsid w:val="00654895"/>
    <w:rsid w:val="00655135"/>
    <w:rsid w:val="00656165"/>
    <w:rsid w:val="00656E3E"/>
    <w:rsid w:val="00657185"/>
    <w:rsid w:val="006572C4"/>
    <w:rsid w:val="00657790"/>
    <w:rsid w:val="006615AE"/>
    <w:rsid w:val="00662F82"/>
    <w:rsid w:val="00663491"/>
    <w:rsid w:val="0067327C"/>
    <w:rsid w:val="00673863"/>
    <w:rsid w:val="00673C47"/>
    <w:rsid w:val="006741CC"/>
    <w:rsid w:val="00675665"/>
    <w:rsid w:val="00675ECB"/>
    <w:rsid w:val="00676882"/>
    <w:rsid w:val="00676F6E"/>
    <w:rsid w:val="00677AEB"/>
    <w:rsid w:val="00681A32"/>
    <w:rsid w:val="006827BB"/>
    <w:rsid w:val="0068407C"/>
    <w:rsid w:val="0068560A"/>
    <w:rsid w:val="00685D08"/>
    <w:rsid w:val="00686E9B"/>
    <w:rsid w:val="006873FE"/>
    <w:rsid w:val="00692470"/>
    <w:rsid w:val="00692658"/>
    <w:rsid w:val="00695F08"/>
    <w:rsid w:val="00696894"/>
    <w:rsid w:val="00696E4E"/>
    <w:rsid w:val="00697ACD"/>
    <w:rsid w:val="006A0B87"/>
    <w:rsid w:val="006A3BEF"/>
    <w:rsid w:val="006A63DC"/>
    <w:rsid w:val="006A6844"/>
    <w:rsid w:val="006A6EB4"/>
    <w:rsid w:val="006A7D0E"/>
    <w:rsid w:val="006B4AD5"/>
    <w:rsid w:val="006B692D"/>
    <w:rsid w:val="006B7074"/>
    <w:rsid w:val="006B794C"/>
    <w:rsid w:val="006B7D8C"/>
    <w:rsid w:val="006C0367"/>
    <w:rsid w:val="006C0800"/>
    <w:rsid w:val="006C0954"/>
    <w:rsid w:val="006C26CD"/>
    <w:rsid w:val="006C3017"/>
    <w:rsid w:val="006C3B03"/>
    <w:rsid w:val="006C4DCC"/>
    <w:rsid w:val="006C69E4"/>
    <w:rsid w:val="006C6D68"/>
    <w:rsid w:val="006D11F7"/>
    <w:rsid w:val="006D290E"/>
    <w:rsid w:val="006D3835"/>
    <w:rsid w:val="006D3997"/>
    <w:rsid w:val="006D40D3"/>
    <w:rsid w:val="006D41F4"/>
    <w:rsid w:val="006E163D"/>
    <w:rsid w:val="006E60AF"/>
    <w:rsid w:val="006E6381"/>
    <w:rsid w:val="006E63BC"/>
    <w:rsid w:val="006F09CA"/>
    <w:rsid w:val="006F1077"/>
    <w:rsid w:val="006F235F"/>
    <w:rsid w:val="006F3BC7"/>
    <w:rsid w:val="006F4818"/>
    <w:rsid w:val="007004DF"/>
    <w:rsid w:val="007013A1"/>
    <w:rsid w:val="00701F8B"/>
    <w:rsid w:val="00704B28"/>
    <w:rsid w:val="00705205"/>
    <w:rsid w:val="007054FA"/>
    <w:rsid w:val="0071168D"/>
    <w:rsid w:val="007133A0"/>
    <w:rsid w:val="0071351C"/>
    <w:rsid w:val="00713CB7"/>
    <w:rsid w:val="0071457D"/>
    <w:rsid w:val="00715389"/>
    <w:rsid w:val="007165E7"/>
    <w:rsid w:val="00716CFA"/>
    <w:rsid w:val="00717037"/>
    <w:rsid w:val="007179DF"/>
    <w:rsid w:val="00721307"/>
    <w:rsid w:val="00723253"/>
    <w:rsid w:val="00723FF4"/>
    <w:rsid w:val="00724E52"/>
    <w:rsid w:val="00726370"/>
    <w:rsid w:val="00727203"/>
    <w:rsid w:val="00727AD4"/>
    <w:rsid w:val="00730BA1"/>
    <w:rsid w:val="00731186"/>
    <w:rsid w:val="007311ED"/>
    <w:rsid w:val="007338CA"/>
    <w:rsid w:val="00734046"/>
    <w:rsid w:val="00734267"/>
    <w:rsid w:val="007344D7"/>
    <w:rsid w:val="00737C25"/>
    <w:rsid w:val="00737C5F"/>
    <w:rsid w:val="007400CB"/>
    <w:rsid w:val="00742522"/>
    <w:rsid w:val="0074271B"/>
    <w:rsid w:val="00744072"/>
    <w:rsid w:val="007506BB"/>
    <w:rsid w:val="00750AA4"/>
    <w:rsid w:val="00753CC9"/>
    <w:rsid w:val="007548F1"/>
    <w:rsid w:val="007569F7"/>
    <w:rsid w:val="00757128"/>
    <w:rsid w:val="007572A7"/>
    <w:rsid w:val="00757C08"/>
    <w:rsid w:val="00761360"/>
    <w:rsid w:val="007638A0"/>
    <w:rsid w:val="007668A4"/>
    <w:rsid w:val="00771360"/>
    <w:rsid w:val="00775C37"/>
    <w:rsid w:val="00777585"/>
    <w:rsid w:val="0078424E"/>
    <w:rsid w:val="00784A95"/>
    <w:rsid w:val="00784DA5"/>
    <w:rsid w:val="00785643"/>
    <w:rsid w:val="00787995"/>
    <w:rsid w:val="00791F9F"/>
    <w:rsid w:val="00793552"/>
    <w:rsid w:val="00793A1B"/>
    <w:rsid w:val="00794A1F"/>
    <w:rsid w:val="00795046"/>
    <w:rsid w:val="007A0244"/>
    <w:rsid w:val="007A08E4"/>
    <w:rsid w:val="007A2077"/>
    <w:rsid w:val="007A2815"/>
    <w:rsid w:val="007A4BD1"/>
    <w:rsid w:val="007A5433"/>
    <w:rsid w:val="007A6271"/>
    <w:rsid w:val="007A65A0"/>
    <w:rsid w:val="007A65DA"/>
    <w:rsid w:val="007A6D77"/>
    <w:rsid w:val="007A6E7B"/>
    <w:rsid w:val="007B1491"/>
    <w:rsid w:val="007B2F91"/>
    <w:rsid w:val="007B711C"/>
    <w:rsid w:val="007C068C"/>
    <w:rsid w:val="007C0796"/>
    <w:rsid w:val="007C07CD"/>
    <w:rsid w:val="007C1941"/>
    <w:rsid w:val="007C3B59"/>
    <w:rsid w:val="007C4FD7"/>
    <w:rsid w:val="007C54F7"/>
    <w:rsid w:val="007C5895"/>
    <w:rsid w:val="007D0459"/>
    <w:rsid w:val="007D31A1"/>
    <w:rsid w:val="007D382E"/>
    <w:rsid w:val="007D45F4"/>
    <w:rsid w:val="007D4D4D"/>
    <w:rsid w:val="007D7C76"/>
    <w:rsid w:val="007E0356"/>
    <w:rsid w:val="007E1583"/>
    <w:rsid w:val="007E1754"/>
    <w:rsid w:val="007E182F"/>
    <w:rsid w:val="007E1CE5"/>
    <w:rsid w:val="007E285E"/>
    <w:rsid w:val="007E3972"/>
    <w:rsid w:val="007E3A48"/>
    <w:rsid w:val="007E3FBB"/>
    <w:rsid w:val="007E4B12"/>
    <w:rsid w:val="007E5D74"/>
    <w:rsid w:val="007E60A0"/>
    <w:rsid w:val="007E7DDE"/>
    <w:rsid w:val="007F18CD"/>
    <w:rsid w:val="007F1CF7"/>
    <w:rsid w:val="007F205B"/>
    <w:rsid w:val="007F6EDE"/>
    <w:rsid w:val="007F7721"/>
    <w:rsid w:val="0081105D"/>
    <w:rsid w:val="008111B1"/>
    <w:rsid w:val="0081165D"/>
    <w:rsid w:val="00811A14"/>
    <w:rsid w:val="00811B52"/>
    <w:rsid w:val="00812135"/>
    <w:rsid w:val="00813E44"/>
    <w:rsid w:val="00814151"/>
    <w:rsid w:val="00814F9F"/>
    <w:rsid w:val="00816F16"/>
    <w:rsid w:val="00821EED"/>
    <w:rsid w:val="008227D1"/>
    <w:rsid w:val="00822F8E"/>
    <w:rsid w:val="0082354A"/>
    <w:rsid w:val="00823D24"/>
    <w:rsid w:val="00824B06"/>
    <w:rsid w:val="008263D9"/>
    <w:rsid w:val="00831100"/>
    <w:rsid w:val="00832416"/>
    <w:rsid w:val="00832F72"/>
    <w:rsid w:val="00836C9E"/>
    <w:rsid w:val="00837126"/>
    <w:rsid w:val="00840159"/>
    <w:rsid w:val="0084023A"/>
    <w:rsid w:val="00840926"/>
    <w:rsid w:val="00843A90"/>
    <w:rsid w:val="00843F7B"/>
    <w:rsid w:val="00845D91"/>
    <w:rsid w:val="0084795A"/>
    <w:rsid w:val="00847B7B"/>
    <w:rsid w:val="00850935"/>
    <w:rsid w:val="0085101E"/>
    <w:rsid w:val="00851124"/>
    <w:rsid w:val="00852258"/>
    <w:rsid w:val="00852FC0"/>
    <w:rsid w:val="00855E57"/>
    <w:rsid w:val="00855F70"/>
    <w:rsid w:val="00856C9C"/>
    <w:rsid w:val="00860ECE"/>
    <w:rsid w:val="0086246E"/>
    <w:rsid w:val="008657CA"/>
    <w:rsid w:val="00865D31"/>
    <w:rsid w:val="0086616E"/>
    <w:rsid w:val="00867505"/>
    <w:rsid w:val="00867CB3"/>
    <w:rsid w:val="0087049A"/>
    <w:rsid w:val="00874FA5"/>
    <w:rsid w:val="00875878"/>
    <w:rsid w:val="0087777D"/>
    <w:rsid w:val="00883128"/>
    <w:rsid w:val="00883458"/>
    <w:rsid w:val="0088390B"/>
    <w:rsid w:val="00884628"/>
    <w:rsid w:val="00884945"/>
    <w:rsid w:val="008856AD"/>
    <w:rsid w:val="00885FD2"/>
    <w:rsid w:val="00887090"/>
    <w:rsid w:val="00887E17"/>
    <w:rsid w:val="00892DFD"/>
    <w:rsid w:val="00896275"/>
    <w:rsid w:val="008972E7"/>
    <w:rsid w:val="008973F6"/>
    <w:rsid w:val="008A000C"/>
    <w:rsid w:val="008A07D7"/>
    <w:rsid w:val="008A1166"/>
    <w:rsid w:val="008A1BAD"/>
    <w:rsid w:val="008A4161"/>
    <w:rsid w:val="008A5097"/>
    <w:rsid w:val="008A73BB"/>
    <w:rsid w:val="008B02ED"/>
    <w:rsid w:val="008B0574"/>
    <w:rsid w:val="008B0818"/>
    <w:rsid w:val="008B23D7"/>
    <w:rsid w:val="008B4874"/>
    <w:rsid w:val="008B55C3"/>
    <w:rsid w:val="008B62A1"/>
    <w:rsid w:val="008B7030"/>
    <w:rsid w:val="008C3E7E"/>
    <w:rsid w:val="008C4781"/>
    <w:rsid w:val="008C64C0"/>
    <w:rsid w:val="008C6C47"/>
    <w:rsid w:val="008C7186"/>
    <w:rsid w:val="008D0570"/>
    <w:rsid w:val="008D0B22"/>
    <w:rsid w:val="008D104D"/>
    <w:rsid w:val="008D280E"/>
    <w:rsid w:val="008D34CD"/>
    <w:rsid w:val="008D479C"/>
    <w:rsid w:val="008D4898"/>
    <w:rsid w:val="008D4AE9"/>
    <w:rsid w:val="008E073D"/>
    <w:rsid w:val="008E0AEF"/>
    <w:rsid w:val="008E157F"/>
    <w:rsid w:val="008E3755"/>
    <w:rsid w:val="008E48BA"/>
    <w:rsid w:val="008E4E24"/>
    <w:rsid w:val="008E651D"/>
    <w:rsid w:val="008E6E2A"/>
    <w:rsid w:val="008E7EC0"/>
    <w:rsid w:val="008F1E60"/>
    <w:rsid w:val="008F377C"/>
    <w:rsid w:val="008F39CF"/>
    <w:rsid w:val="008F6731"/>
    <w:rsid w:val="008F7438"/>
    <w:rsid w:val="009014A4"/>
    <w:rsid w:val="00905A09"/>
    <w:rsid w:val="009078A9"/>
    <w:rsid w:val="009110A3"/>
    <w:rsid w:val="0091201A"/>
    <w:rsid w:val="00912BD0"/>
    <w:rsid w:val="00912E15"/>
    <w:rsid w:val="00913723"/>
    <w:rsid w:val="0091419A"/>
    <w:rsid w:val="00914EB0"/>
    <w:rsid w:val="0091589D"/>
    <w:rsid w:val="00921EC3"/>
    <w:rsid w:val="00922A2A"/>
    <w:rsid w:val="0092612D"/>
    <w:rsid w:val="009266A9"/>
    <w:rsid w:val="00927511"/>
    <w:rsid w:val="00933425"/>
    <w:rsid w:val="00933BB9"/>
    <w:rsid w:val="00934B0E"/>
    <w:rsid w:val="00935257"/>
    <w:rsid w:val="0093559B"/>
    <w:rsid w:val="00935C9E"/>
    <w:rsid w:val="0093637C"/>
    <w:rsid w:val="009369E3"/>
    <w:rsid w:val="00937B0D"/>
    <w:rsid w:val="0094054D"/>
    <w:rsid w:val="009407F6"/>
    <w:rsid w:val="00947C92"/>
    <w:rsid w:val="00950332"/>
    <w:rsid w:val="0095037E"/>
    <w:rsid w:val="009534E2"/>
    <w:rsid w:val="0095352F"/>
    <w:rsid w:val="00956ABD"/>
    <w:rsid w:val="00956BF0"/>
    <w:rsid w:val="00957002"/>
    <w:rsid w:val="00960439"/>
    <w:rsid w:val="00961DFE"/>
    <w:rsid w:val="00963153"/>
    <w:rsid w:val="00964C9E"/>
    <w:rsid w:val="009658CB"/>
    <w:rsid w:val="009711A3"/>
    <w:rsid w:val="00971F05"/>
    <w:rsid w:val="00973BC9"/>
    <w:rsid w:val="009751EC"/>
    <w:rsid w:val="00976944"/>
    <w:rsid w:val="00976F00"/>
    <w:rsid w:val="0098237B"/>
    <w:rsid w:val="00982B13"/>
    <w:rsid w:val="00983BC9"/>
    <w:rsid w:val="0098450F"/>
    <w:rsid w:val="009850E1"/>
    <w:rsid w:val="00985E76"/>
    <w:rsid w:val="00985F9C"/>
    <w:rsid w:val="00986BB6"/>
    <w:rsid w:val="00987852"/>
    <w:rsid w:val="00990B61"/>
    <w:rsid w:val="0099101F"/>
    <w:rsid w:val="0099117C"/>
    <w:rsid w:val="00994A21"/>
    <w:rsid w:val="009951F8"/>
    <w:rsid w:val="00995A17"/>
    <w:rsid w:val="00996678"/>
    <w:rsid w:val="00996ACA"/>
    <w:rsid w:val="00997B15"/>
    <w:rsid w:val="00997DC9"/>
    <w:rsid w:val="009A4110"/>
    <w:rsid w:val="009A59D3"/>
    <w:rsid w:val="009A6C1B"/>
    <w:rsid w:val="009B2EFE"/>
    <w:rsid w:val="009B3935"/>
    <w:rsid w:val="009B3BA6"/>
    <w:rsid w:val="009B438E"/>
    <w:rsid w:val="009B5A31"/>
    <w:rsid w:val="009C2B41"/>
    <w:rsid w:val="009C5066"/>
    <w:rsid w:val="009C56F0"/>
    <w:rsid w:val="009C714E"/>
    <w:rsid w:val="009D202B"/>
    <w:rsid w:val="009D224C"/>
    <w:rsid w:val="009D31F6"/>
    <w:rsid w:val="009E0379"/>
    <w:rsid w:val="009E1C11"/>
    <w:rsid w:val="009E35E3"/>
    <w:rsid w:val="009E58CE"/>
    <w:rsid w:val="009E6125"/>
    <w:rsid w:val="009E613B"/>
    <w:rsid w:val="009E62F1"/>
    <w:rsid w:val="009E6899"/>
    <w:rsid w:val="009E6ED4"/>
    <w:rsid w:val="009E7252"/>
    <w:rsid w:val="009E72E5"/>
    <w:rsid w:val="009E7E86"/>
    <w:rsid w:val="009E7FBD"/>
    <w:rsid w:val="009F0341"/>
    <w:rsid w:val="009F0880"/>
    <w:rsid w:val="009F0FB5"/>
    <w:rsid w:val="009F2CDC"/>
    <w:rsid w:val="009F58FB"/>
    <w:rsid w:val="009F6363"/>
    <w:rsid w:val="009F63D5"/>
    <w:rsid w:val="009F7293"/>
    <w:rsid w:val="00A02032"/>
    <w:rsid w:val="00A0203F"/>
    <w:rsid w:val="00A02F20"/>
    <w:rsid w:val="00A030E0"/>
    <w:rsid w:val="00A04C51"/>
    <w:rsid w:val="00A06AE7"/>
    <w:rsid w:val="00A1034C"/>
    <w:rsid w:val="00A10A81"/>
    <w:rsid w:val="00A110F2"/>
    <w:rsid w:val="00A1231F"/>
    <w:rsid w:val="00A15A3B"/>
    <w:rsid w:val="00A16932"/>
    <w:rsid w:val="00A20585"/>
    <w:rsid w:val="00A2096C"/>
    <w:rsid w:val="00A21427"/>
    <w:rsid w:val="00A21F76"/>
    <w:rsid w:val="00A2290E"/>
    <w:rsid w:val="00A22ADC"/>
    <w:rsid w:val="00A27171"/>
    <w:rsid w:val="00A3035B"/>
    <w:rsid w:val="00A31C3B"/>
    <w:rsid w:val="00A336F9"/>
    <w:rsid w:val="00A37FB2"/>
    <w:rsid w:val="00A4029D"/>
    <w:rsid w:val="00A42108"/>
    <w:rsid w:val="00A437CC"/>
    <w:rsid w:val="00A45996"/>
    <w:rsid w:val="00A45B63"/>
    <w:rsid w:val="00A46D39"/>
    <w:rsid w:val="00A4780B"/>
    <w:rsid w:val="00A47818"/>
    <w:rsid w:val="00A47A04"/>
    <w:rsid w:val="00A50147"/>
    <w:rsid w:val="00A52513"/>
    <w:rsid w:val="00A52A86"/>
    <w:rsid w:val="00A52C55"/>
    <w:rsid w:val="00A53DAE"/>
    <w:rsid w:val="00A56816"/>
    <w:rsid w:val="00A57CCF"/>
    <w:rsid w:val="00A60DF7"/>
    <w:rsid w:val="00A63B1E"/>
    <w:rsid w:val="00A70E14"/>
    <w:rsid w:val="00A70F74"/>
    <w:rsid w:val="00A71015"/>
    <w:rsid w:val="00A71515"/>
    <w:rsid w:val="00A717D1"/>
    <w:rsid w:val="00A724B2"/>
    <w:rsid w:val="00A72B64"/>
    <w:rsid w:val="00A7336E"/>
    <w:rsid w:val="00A733BD"/>
    <w:rsid w:val="00A74307"/>
    <w:rsid w:val="00A80801"/>
    <w:rsid w:val="00A8115D"/>
    <w:rsid w:val="00A847E4"/>
    <w:rsid w:val="00A84C87"/>
    <w:rsid w:val="00A85FEC"/>
    <w:rsid w:val="00A86512"/>
    <w:rsid w:val="00A914A0"/>
    <w:rsid w:val="00A917F1"/>
    <w:rsid w:val="00A928CD"/>
    <w:rsid w:val="00A929F1"/>
    <w:rsid w:val="00A93F96"/>
    <w:rsid w:val="00A948B0"/>
    <w:rsid w:val="00A954B2"/>
    <w:rsid w:val="00A9553C"/>
    <w:rsid w:val="00A95690"/>
    <w:rsid w:val="00A9772B"/>
    <w:rsid w:val="00AA050D"/>
    <w:rsid w:val="00AA19E2"/>
    <w:rsid w:val="00AA3498"/>
    <w:rsid w:val="00AA3656"/>
    <w:rsid w:val="00AA36D8"/>
    <w:rsid w:val="00AA6633"/>
    <w:rsid w:val="00AA6DEC"/>
    <w:rsid w:val="00AA7AF6"/>
    <w:rsid w:val="00AB1061"/>
    <w:rsid w:val="00AB125F"/>
    <w:rsid w:val="00AB25A2"/>
    <w:rsid w:val="00AB42CA"/>
    <w:rsid w:val="00AC24C2"/>
    <w:rsid w:val="00AC29B2"/>
    <w:rsid w:val="00AC35D2"/>
    <w:rsid w:val="00AC4B6F"/>
    <w:rsid w:val="00AC598A"/>
    <w:rsid w:val="00AC7198"/>
    <w:rsid w:val="00AC7A74"/>
    <w:rsid w:val="00AD0299"/>
    <w:rsid w:val="00AD0544"/>
    <w:rsid w:val="00AD12B6"/>
    <w:rsid w:val="00AD12C3"/>
    <w:rsid w:val="00AD1CC4"/>
    <w:rsid w:val="00AD3CB7"/>
    <w:rsid w:val="00AD51D1"/>
    <w:rsid w:val="00AD5A10"/>
    <w:rsid w:val="00AD5E74"/>
    <w:rsid w:val="00AD6E4A"/>
    <w:rsid w:val="00AD75EB"/>
    <w:rsid w:val="00AE0AF1"/>
    <w:rsid w:val="00AE0BD7"/>
    <w:rsid w:val="00AE4281"/>
    <w:rsid w:val="00AE4A61"/>
    <w:rsid w:val="00AE5741"/>
    <w:rsid w:val="00AE67B4"/>
    <w:rsid w:val="00AE6915"/>
    <w:rsid w:val="00AE7803"/>
    <w:rsid w:val="00AE7B7C"/>
    <w:rsid w:val="00AF411E"/>
    <w:rsid w:val="00AF5E43"/>
    <w:rsid w:val="00AF7D5B"/>
    <w:rsid w:val="00B041F3"/>
    <w:rsid w:val="00B114EF"/>
    <w:rsid w:val="00B12A70"/>
    <w:rsid w:val="00B13067"/>
    <w:rsid w:val="00B147D0"/>
    <w:rsid w:val="00B151CF"/>
    <w:rsid w:val="00B15A7F"/>
    <w:rsid w:val="00B15D6B"/>
    <w:rsid w:val="00B15D8F"/>
    <w:rsid w:val="00B20FC6"/>
    <w:rsid w:val="00B2145C"/>
    <w:rsid w:val="00B22C79"/>
    <w:rsid w:val="00B23593"/>
    <w:rsid w:val="00B253CB"/>
    <w:rsid w:val="00B27A23"/>
    <w:rsid w:val="00B27B24"/>
    <w:rsid w:val="00B303F8"/>
    <w:rsid w:val="00B308DC"/>
    <w:rsid w:val="00B310BD"/>
    <w:rsid w:val="00B33739"/>
    <w:rsid w:val="00B33E36"/>
    <w:rsid w:val="00B345B9"/>
    <w:rsid w:val="00B35644"/>
    <w:rsid w:val="00B3631F"/>
    <w:rsid w:val="00B36579"/>
    <w:rsid w:val="00B37444"/>
    <w:rsid w:val="00B419AC"/>
    <w:rsid w:val="00B41C11"/>
    <w:rsid w:val="00B42C68"/>
    <w:rsid w:val="00B430F7"/>
    <w:rsid w:val="00B438B4"/>
    <w:rsid w:val="00B50760"/>
    <w:rsid w:val="00B508E2"/>
    <w:rsid w:val="00B51435"/>
    <w:rsid w:val="00B544C3"/>
    <w:rsid w:val="00B54CEA"/>
    <w:rsid w:val="00B56263"/>
    <w:rsid w:val="00B577C7"/>
    <w:rsid w:val="00B607A8"/>
    <w:rsid w:val="00B60BCB"/>
    <w:rsid w:val="00B6267A"/>
    <w:rsid w:val="00B6328B"/>
    <w:rsid w:val="00B63842"/>
    <w:rsid w:val="00B64022"/>
    <w:rsid w:val="00B654B3"/>
    <w:rsid w:val="00B666A0"/>
    <w:rsid w:val="00B66DE9"/>
    <w:rsid w:val="00B7160C"/>
    <w:rsid w:val="00B74C25"/>
    <w:rsid w:val="00B773D4"/>
    <w:rsid w:val="00B77477"/>
    <w:rsid w:val="00B77A8F"/>
    <w:rsid w:val="00B8055F"/>
    <w:rsid w:val="00B806DB"/>
    <w:rsid w:val="00B81238"/>
    <w:rsid w:val="00B816F7"/>
    <w:rsid w:val="00B81D8C"/>
    <w:rsid w:val="00B8252C"/>
    <w:rsid w:val="00B8444F"/>
    <w:rsid w:val="00B85A48"/>
    <w:rsid w:val="00B85B94"/>
    <w:rsid w:val="00B870FF"/>
    <w:rsid w:val="00B879D6"/>
    <w:rsid w:val="00B91698"/>
    <w:rsid w:val="00B92DD2"/>
    <w:rsid w:val="00B92E7F"/>
    <w:rsid w:val="00B930D1"/>
    <w:rsid w:val="00B93952"/>
    <w:rsid w:val="00B93F2E"/>
    <w:rsid w:val="00B94AD0"/>
    <w:rsid w:val="00B958F5"/>
    <w:rsid w:val="00B97C8B"/>
    <w:rsid w:val="00BA00E4"/>
    <w:rsid w:val="00BA1018"/>
    <w:rsid w:val="00BA3336"/>
    <w:rsid w:val="00BA4B79"/>
    <w:rsid w:val="00BA70AA"/>
    <w:rsid w:val="00BB079E"/>
    <w:rsid w:val="00BB2205"/>
    <w:rsid w:val="00BB319E"/>
    <w:rsid w:val="00BB3633"/>
    <w:rsid w:val="00BB59FA"/>
    <w:rsid w:val="00BB6698"/>
    <w:rsid w:val="00BB7CD5"/>
    <w:rsid w:val="00BC21F2"/>
    <w:rsid w:val="00BC41C3"/>
    <w:rsid w:val="00BC4E17"/>
    <w:rsid w:val="00BC72D2"/>
    <w:rsid w:val="00BC7F05"/>
    <w:rsid w:val="00BD043B"/>
    <w:rsid w:val="00BD0949"/>
    <w:rsid w:val="00BD0CBB"/>
    <w:rsid w:val="00BD1D67"/>
    <w:rsid w:val="00BD4A7D"/>
    <w:rsid w:val="00BD5755"/>
    <w:rsid w:val="00BD61CD"/>
    <w:rsid w:val="00BD63E4"/>
    <w:rsid w:val="00BD661C"/>
    <w:rsid w:val="00BD7293"/>
    <w:rsid w:val="00BD768E"/>
    <w:rsid w:val="00BE05D4"/>
    <w:rsid w:val="00BE27C1"/>
    <w:rsid w:val="00BE3A92"/>
    <w:rsid w:val="00BE405F"/>
    <w:rsid w:val="00BE6E17"/>
    <w:rsid w:val="00BE7425"/>
    <w:rsid w:val="00BF03AB"/>
    <w:rsid w:val="00BF11DE"/>
    <w:rsid w:val="00BF1CC3"/>
    <w:rsid w:val="00BF2E52"/>
    <w:rsid w:val="00BF4BEE"/>
    <w:rsid w:val="00BF6638"/>
    <w:rsid w:val="00BF6D7D"/>
    <w:rsid w:val="00BF703C"/>
    <w:rsid w:val="00BF75B6"/>
    <w:rsid w:val="00BF7BA0"/>
    <w:rsid w:val="00C04937"/>
    <w:rsid w:val="00C05AFB"/>
    <w:rsid w:val="00C06131"/>
    <w:rsid w:val="00C0673F"/>
    <w:rsid w:val="00C07F42"/>
    <w:rsid w:val="00C110A7"/>
    <w:rsid w:val="00C114C7"/>
    <w:rsid w:val="00C1150B"/>
    <w:rsid w:val="00C12136"/>
    <w:rsid w:val="00C12AE3"/>
    <w:rsid w:val="00C13121"/>
    <w:rsid w:val="00C20B48"/>
    <w:rsid w:val="00C210CD"/>
    <w:rsid w:val="00C210FB"/>
    <w:rsid w:val="00C22321"/>
    <w:rsid w:val="00C223FB"/>
    <w:rsid w:val="00C22404"/>
    <w:rsid w:val="00C263D6"/>
    <w:rsid w:val="00C2684F"/>
    <w:rsid w:val="00C273CE"/>
    <w:rsid w:val="00C278B4"/>
    <w:rsid w:val="00C30312"/>
    <w:rsid w:val="00C31D9C"/>
    <w:rsid w:val="00C320A7"/>
    <w:rsid w:val="00C3232C"/>
    <w:rsid w:val="00C34BDB"/>
    <w:rsid w:val="00C365B1"/>
    <w:rsid w:val="00C40394"/>
    <w:rsid w:val="00C40478"/>
    <w:rsid w:val="00C40E82"/>
    <w:rsid w:val="00C42B3C"/>
    <w:rsid w:val="00C44F6F"/>
    <w:rsid w:val="00C45749"/>
    <w:rsid w:val="00C46010"/>
    <w:rsid w:val="00C47378"/>
    <w:rsid w:val="00C52B3E"/>
    <w:rsid w:val="00C55465"/>
    <w:rsid w:val="00C575BE"/>
    <w:rsid w:val="00C576B8"/>
    <w:rsid w:val="00C57D6B"/>
    <w:rsid w:val="00C61D55"/>
    <w:rsid w:val="00C64425"/>
    <w:rsid w:val="00C6757A"/>
    <w:rsid w:val="00C708DE"/>
    <w:rsid w:val="00C71E9F"/>
    <w:rsid w:val="00C72360"/>
    <w:rsid w:val="00C74CA8"/>
    <w:rsid w:val="00C74E5E"/>
    <w:rsid w:val="00C76016"/>
    <w:rsid w:val="00C82F23"/>
    <w:rsid w:val="00C847C8"/>
    <w:rsid w:val="00C9098F"/>
    <w:rsid w:val="00C90ADB"/>
    <w:rsid w:val="00C90B50"/>
    <w:rsid w:val="00C90B9B"/>
    <w:rsid w:val="00C9185A"/>
    <w:rsid w:val="00C9498F"/>
    <w:rsid w:val="00C95469"/>
    <w:rsid w:val="00C95D0E"/>
    <w:rsid w:val="00C968C1"/>
    <w:rsid w:val="00C97DAC"/>
    <w:rsid w:val="00CA45DD"/>
    <w:rsid w:val="00CA4B50"/>
    <w:rsid w:val="00CA5CDD"/>
    <w:rsid w:val="00CA678D"/>
    <w:rsid w:val="00CA6B2C"/>
    <w:rsid w:val="00CB2170"/>
    <w:rsid w:val="00CB7352"/>
    <w:rsid w:val="00CB7869"/>
    <w:rsid w:val="00CC1256"/>
    <w:rsid w:val="00CC240B"/>
    <w:rsid w:val="00CC5978"/>
    <w:rsid w:val="00CC70BB"/>
    <w:rsid w:val="00CD1B7B"/>
    <w:rsid w:val="00CD548B"/>
    <w:rsid w:val="00CE39B1"/>
    <w:rsid w:val="00CE3CB2"/>
    <w:rsid w:val="00CE44F3"/>
    <w:rsid w:val="00CE4803"/>
    <w:rsid w:val="00CE5310"/>
    <w:rsid w:val="00CE581A"/>
    <w:rsid w:val="00CF1A8A"/>
    <w:rsid w:val="00CF2067"/>
    <w:rsid w:val="00CF7026"/>
    <w:rsid w:val="00CF7E4B"/>
    <w:rsid w:val="00D01408"/>
    <w:rsid w:val="00D049BA"/>
    <w:rsid w:val="00D054A1"/>
    <w:rsid w:val="00D07758"/>
    <w:rsid w:val="00D10A64"/>
    <w:rsid w:val="00D1231F"/>
    <w:rsid w:val="00D14C31"/>
    <w:rsid w:val="00D156E3"/>
    <w:rsid w:val="00D159F8"/>
    <w:rsid w:val="00D170D7"/>
    <w:rsid w:val="00D17198"/>
    <w:rsid w:val="00D218DB"/>
    <w:rsid w:val="00D21BE0"/>
    <w:rsid w:val="00D22D71"/>
    <w:rsid w:val="00D2364E"/>
    <w:rsid w:val="00D23756"/>
    <w:rsid w:val="00D23A44"/>
    <w:rsid w:val="00D25940"/>
    <w:rsid w:val="00D30C32"/>
    <w:rsid w:val="00D31176"/>
    <w:rsid w:val="00D31BA8"/>
    <w:rsid w:val="00D32635"/>
    <w:rsid w:val="00D32928"/>
    <w:rsid w:val="00D32B99"/>
    <w:rsid w:val="00D330CB"/>
    <w:rsid w:val="00D33B3A"/>
    <w:rsid w:val="00D35126"/>
    <w:rsid w:val="00D36CCE"/>
    <w:rsid w:val="00D450CC"/>
    <w:rsid w:val="00D4597A"/>
    <w:rsid w:val="00D50D8E"/>
    <w:rsid w:val="00D50F99"/>
    <w:rsid w:val="00D51801"/>
    <w:rsid w:val="00D52CF0"/>
    <w:rsid w:val="00D5354D"/>
    <w:rsid w:val="00D53905"/>
    <w:rsid w:val="00D541B6"/>
    <w:rsid w:val="00D550A3"/>
    <w:rsid w:val="00D55A36"/>
    <w:rsid w:val="00D5641F"/>
    <w:rsid w:val="00D5680E"/>
    <w:rsid w:val="00D5688C"/>
    <w:rsid w:val="00D57017"/>
    <w:rsid w:val="00D633A1"/>
    <w:rsid w:val="00D63AAB"/>
    <w:rsid w:val="00D644B2"/>
    <w:rsid w:val="00D646F6"/>
    <w:rsid w:val="00D64B64"/>
    <w:rsid w:val="00D65280"/>
    <w:rsid w:val="00D658C6"/>
    <w:rsid w:val="00D67083"/>
    <w:rsid w:val="00D710DA"/>
    <w:rsid w:val="00D727A4"/>
    <w:rsid w:val="00D742C1"/>
    <w:rsid w:val="00D74776"/>
    <w:rsid w:val="00D7599E"/>
    <w:rsid w:val="00D75C98"/>
    <w:rsid w:val="00D7678C"/>
    <w:rsid w:val="00D77148"/>
    <w:rsid w:val="00D81DCE"/>
    <w:rsid w:val="00D86577"/>
    <w:rsid w:val="00D8775B"/>
    <w:rsid w:val="00D87B56"/>
    <w:rsid w:val="00D87CEE"/>
    <w:rsid w:val="00D90D13"/>
    <w:rsid w:val="00D925C8"/>
    <w:rsid w:val="00D93ABC"/>
    <w:rsid w:val="00D96A4E"/>
    <w:rsid w:val="00D9786D"/>
    <w:rsid w:val="00DA1971"/>
    <w:rsid w:val="00DA20DD"/>
    <w:rsid w:val="00DA5963"/>
    <w:rsid w:val="00DA7484"/>
    <w:rsid w:val="00DA7567"/>
    <w:rsid w:val="00DB1036"/>
    <w:rsid w:val="00DB6307"/>
    <w:rsid w:val="00DB6875"/>
    <w:rsid w:val="00DB6AB4"/>
    <w:rsid w:val="00DC0670"/>
    <w:rsid w:val="00DC2200"/>
    <w:rsid w:val="00DC3C76"/>
    <w:rsid w:val="00DC58EE"/>
    <w:rsid w:val="00DC5A29"/>
    <w:rsid w:val="00DC65D6"/>
    <w:rsid w:val="00DC7ADA"/>
    <w:rsid w:val="00DC7BCD"/>
    <w:rsid w:val="00DD060E"/>
    <w:rsid w:val="00DD184C"/>
    <w:rsid w:val="00DD21C6"/>
    <w:rsid w:val="00DD2574"/>
    <w:rsid w:val="00DD78C0"/>
    <w:rsid w:val="00DE0C40"/>
    <w:rsid w:val="00DE1A96"/>
    <w:rsid w:val="00DE272A"/>
    <w:rsid w:val="00DE2AE4"/>
    <w:rsid w:val="00DE3C70"/>
    <w:rsid w:val="00DE4159"/>
    <w:rsid w:val="00DE45AC"/>
    <w:rsid w:val="00DE5B02"/>
    <w:rsid w:val="00DE68AE"/>
    <w:rsid w:val="00DE7128"/>
    <w:rsid w:val="00DF034C"/>
    <w:rsid w:val="00DF09FD"/>
    <w:rsid w:val="00DF0E17"/>
    <w:rsid w:val="00DF3B38"/>
    <w:rsid w:val="00DF5F51"/>
    <w:rsid w:val="00DF6879"/>
    <w:rsid w:val="00DF704F"/>
    <w:rsid w:val="00DF7C4F"/>
    <w:rsid w:val="00DF7D71"/>
    <w:rsid w:val="00E00931"/>
    <w:rsid w:val="00E01591"/>
    <w:rsid w:val="00E01E84"/>
    <w:rsid w:val="00E02220"/>
    <w:rsid w:val="00E03218"/>
    <w:rsid w:val="00E03260"/>
    <w:rsid w:val="00E03A41"/>
    <w:rsid w:val="00E03D15"/>
    <w:rsid w:val="00E04C1C"/>
    <w:rsid w:val="00E04DB7"/>
    <w:rsid w:val="00E13A0B"/>
    <w:rsid w:val="00E13F2E"/>
    <w:rsid w:val="00E13F8B"/>
    <w:rsid w:val="00E16B51"/>
    <w:rsid w:val="00E21874"/>
    <w:rsid w:val="00E21EBA"/>
    <w:rsid w:val="00E2276F"/>
    <w:rsid w:val="00E23737"/>
    <w:rsid w:val="00E243CF"/>
    <w:rsid w:val="00E25645"/>
    <w:rsid w:val="00E258E4"/>
    <w:rsid w:val="00E2600E"/>
    <w:rsid w:val="00E26515"/>
    <w:rsid w:val="00E26905"/>
    <w:rsid w:val="00E305BA"/>
    <w:rsid w:val="00E3095A"/>
    <w:rsid w:val="00E31D71"/>
    <w:rsid w:val="00E339E1"/>
    <w:rsid w:val="00E401CB"/>
    <w:rsid w:val="00E40542"/>
    <w:rsid w:val="00E40E3C"/>
    <w:rsid w:val="00E42BCD"/>
    <w:rsid w:val="00E43080"/>
    <w:rsid w:val="00E444F8"/>
    <w:rsid w:val="00E445CC"/>
    <w:rsid w:val="00E44768"/>
    <w:rsid w:val="00E463AD"/>
    <w:rsid w:val="00E46D5D"/>
    <w:rsid w:val="00E47F96"/>
    <w:rsid w:val="00E50F96"/>
    <w:rsid w:val="00E52CE5"/>
    <w:rsid w:val="00E54564"/>
    <w:rsid w:val="00E557DD"/>
    <w:rsid w:val="00E5625A"/>
    <w:rsid w:val="00E5690F"/>
    <w:rsid w:val="00E57B58"/>
    <w:rsid w:val="00E60D35"/>
    <w:rsid w:val="00E60E4C"/>
    <w:rsid w:val="00E64037"/>
    <w:rsid w:val="00E64B96"/>
    <w:rsid w:val="00E66B3E"/>
    <w:rsid w:val="00E67B82"/>
    <w:rsid w:val="00E67BB5"/>
    <w:rsid w:val="00E70908"/>
    <w:rsid w:val="00E71F21"/>
    <w:rsid w:val="00E72854"/>
    <w:rsid w:val="00E73A00"/>
    <w:rsid w:val="00E74FD0"/>
    <w:rsid w:val="00E7576E"/>
    <w:rsid w:val="00E82315"/>
    <w:rsid w:val="00E84072"/>
    <w:rsid w:val="00E866CE"/>
    <w:rsid w:val="00E9094F"/>
    <w:rsid w:val="00E91F57"/>
    <w:rsid w:val="00E9324B"/>
    <w:rsid w:val="00E949FA"/>
    <w:rsid w:val="00E96292"/>
    <w:rsid w:val="00E97618"/>
    <w:rsid w:val="00E97BAB"/>
    <w:rsid w:val="00E97CDC"/>
    <w:rsid w:val="00EA2562"/>
    <w:rsid w:val="00EA348E"/>
    <w:rsid w:val="00EA41D4"/>
    <w:rsid w:val="00EA4500"/>
    <w:rsid w:val="00EA48C8"/>
    <w:rsid w:val="00EA6035"/>
    <w:rsid w:val="00EA7B76"/>
    <w:rsid w:val="00EB0530"/>
    <w:rsid w:val="00EB12EB"/>
    <w:rsid w:val="00EB5591"/>
    <w:rsid w:val="00EC0474"/>
    <w:rsid w:val="00EC341D"/>
    <w:rsid w:val="00EC404D"/>
    <w:rsid w:val="00EC4092"/>
    <w:rsid w:val="00EC7B14"/>
    <w:rsid w:val="00EC7FB1"/>
    <w:rsid w:val="00ED4B0E"/>
    <w:rsid w:val="00ED5871"/>
    <w:rsid w:val="00EE176B"/>
    <w:rsid w:val="00EE21E2"/>
    <w:rsid w:val="00EE4EDA"/>
    <w:rsid w:val="00EE62AF"/>
    <w:rsid w:val="00EF1212"/>
    <w:rsid w:val="00EF3093"/>
    <w:rsid w:val="00EF3376"/>
    <w:rsid w:val="00EF3EAC"/>
    <w:rsid w:val="00EF505E"/>
    <w:rsid w:val="00EF57FD"/>
    <w:rsid w:val="00EF6A75"/>
    <w:rsid w:val="00EF7E0F"/>
    <w:rsid w:val="00F00F12"/>
    <w:rsid w:val="00F01C36"/>
    <w:rsid w:val="00F02188"/>
    <w:rsid w:val="00F05A5C"/>
    <w:rsid w:val="00F064D5"/>
    <w:rsid w:val="00F06975"/>
    <w:rsid w:val="00F06AB6"/>
    <w:rsid w:val="00F06CD8"/>
    <w:rsid w:val="00F078F3"/>
    <w:rsid w:val="00F10A2D"/>
    <w:rsid w:val="00F13536"/>
    <w:rsid w:val="00F13924"/>
    <w:rsid w:val="00F156DD"/>
    <w:rsid w:val="00F15AB2"/>
    <w:rsid w:val="00F15C07"/>
    <w:rsid w:val="00F2082D"/>
    <w:rsid w:val="00F21A4F"/>
    <w:rsid w:val="00F22119"/>
    <w:rsid w:val="00F22A53"/>
    <w:rsid w:val="00F2412E"/>
    <w:rsid w:val="00F27D47"/>
    <w:rsid w:val="00F310F1"/>
    <w:rsid w:val="00F35400"/>
    <w:rsid w:val="00F3585E"/>
    <w:rsid w:val="00F40151"/>
    <w:rsid w:val="00F4166D"/>
    <w:rsid w:val="00F4205F"/>
    <w:rsid w:val="00F43D85"/>
    <w:rsid w:val="00F470ED"/>
    <w:rsid w:val="00F4718A"/>
    <w:rsid w:val="00F4721A"/>
    <w:rsid w:val="00F504BF"/>
    <w:rsid w:val="00F5370F"/>
    <w:rsid w:val="00F53F0A"/>
    <w:rsid w:val="00F54266"/>
    <w:rsid w:val="00F55D8A"/>
    <w:rsid w:val="00F56166"/>
    <w:rsid w:val="00F56DCD"/>
    <w:rsid w:val="00F57029"/>
    <w:rsid w:val="00F6029C"/>
    <w:rsid w:val="00F6655E"/>
    <w:rsid w:val="00F67F18"/>
    <w:rsid w:val="00F72315"/>
    <w:rsid w:val="00F726DF"/>
    <w:rsid w:val="00F82797"/>
    <w:rsid w:val="00F83126"/>
    <w:rsid w:val="00F86690"/>
    <w:rsid w:val="00F911F8"/>
    <w:rsid w:val="00F91941"/>
    <w:rsid w:val="00F9428F"/>
    <w:rsid w:val="00F9537A"/>
    <w:rsid w:val="00F959A5"/>
    <w:rsid w:val="00F96448"/>
    <w:rsid w:val="00FA0DD6"/>
    <w:rsid w:val="00FA1BA5"/>
    <w:rsid w:val="00FA1CEC"/>
    <w:rsid w:val="00FA2E39"/>
    <w:rsid w:val="00FA42CF"/>
    <w:rsid w:val="00FA4E0B"/>
    <w:rsid w:val="00FA528F"/>
    <w:rsid w:val="00FA61D6"/>
    <w:rsid w:val="00FB1007"/>
    <w:rsid w:val="00FB2B9D"/>
    <w:rsid w:val="00FB37B0"/>
    <w:rsid w:val="00FB57E2"/>
    <w:rsid w:val="00FB612F"/>
    <w:rsid w:val="00FC0B70"/>
    <w:rsid w:val="00FC3307"/>
    <w:rsid w:val="00FC63C1"/>
    <w:rsid w:val="00FC6706"/>
    <w:rsid w:val="00FD1335"/>
    <w:rsid w:val="00FD1C89"/>
    <w:rsid w:val="00FD25C4"/>
    <w:rsid w:val="00FD3020"/>
    <w:rsid w:val="00FD4A38"/>
    <w:rsid w:val="00FD5C68"/>
    <w:rsid w:val="00FE0E19"/>
    <w:rsid w:val="00FE1984"/>
    <w:rsid w:val="00FE1B55"/>
    <w:rsid w:val="00FE24B9"/>
    <w:rsid w:val="00FE3023"/>
    <w:rsid w:val="00FE6769"/>
    <w:rsid w:val="00FF151A"/>
    <w:rsid w:val="00FF26F1"/>
    <w:rsid w:val="00FF2BCE"/>
    <w:rsid w:val="00FF2DA4"/>
    <w:rsid w:val="00FF2FC3"/>
    <w:rsid w:val="00FF52DA"/>
    <w:rsid w:val="00FF586F"/>
    <w:rsid w:val="00FF7F35"/>
  </w:rsids>
  <m:mathPr>
    <m:mathFont m:val="Cambria Math"/>
    <m:brkBin m:val="before"/>
    <m:brkBinSub m:val="--"/>
    <m:smallFrac m:val="0"/>
    <m:dispDef/>
    <m:lMargin m:val="0"/>
    <m:rMargin m:val="0"/>
    <m:defJc m:val="centerGroup"/>
    <m:wrapIndent m:val="1134"/>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CF58"/>
  <w15:docId w15:val="{B108C44E-FADB-4E41-8188-BBB700A3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3E"/>
  </w:style>
  <w:style w:type="paragraph" w:styleId="Heading1">
    <w:name w:val="heading 1"/>
    <w:basedOn w:val="Normal"/>
    <w:next w:val="Normal"/>
    <w:uiPriority w:val="9"/>
    <w:qFormat/>
    <w:pPr>
      <w:keepNext/>
      <w:widowControl w:val="0"/>
      <w:spacing w:before="240" w:after="60"/>
      <w:jc w:val="both"/>
      <w:outlineLvl w:val="0"/>
    </w:pPr>
    <w:rPr>
      <w:rFonts w:ascii="Arial" w:eastAsia="Arial" w:hAnsi="Arial" w:cs="Arial"/>
      <w:b/>
      <w:sz w:val="32"/>
      <w:szCs w:val="32"/>
    </w:rPr>
  </w:style>
  <w:style w:type="paragraph" w:styleId="Heading2">
    <w:name w:val="heading 2"/>
    <w:basedOn w:val="Normal"/>
    <w:next w:val="Normal"/>
    <w:uiPriority w:val="9"/>
    <w:unhideWhenUsed/>
    <w:qFormat/>
    <w:pPr>
      <w:keepNext/>
      <w:widowControl w:val="0"/>
      <w:spacing w:before="240" w:after="60"/>
      <w:jc w:val="both"/>
      <w:outlineLvl w:val="1"/>
    </w:pPr>
    <w:rPr>
      <w:rFonts w:ascii="Arial" w:eastAsia="Arial" w:hAnsi="Arial" w:cs="Arial"/>
      <w:b/>
      <w:i/>
    </w:rPr>
  </w:style>
  <w:style w:type="paragraph" w:styleId="Heading3">
    <w:name w:val="heading 3"/>
    <w:basedOn w:val="Normal"/>
    <w:next w:val="Normal"/>
    <w:uiPriority w:val="9"/>
    <w:unhideWhenUsed/>
    <w:qFormat/>
    <w:pPr>
      <w:keepNext/>
      <w:widowControl w:val="0"/>
      <w:spacing w:before="240" w:after="60"/>
      <w:jc w:val="both"/>
      <w:outlineLvl w:val="2"/>
    </w:pPr>
    <w:rPr>
      <w:rFonts w:ascii="Arial" w:eastAsia="Arial" w:hAnsi="Arial" w:cs="Arial"/>
      <w:b/>
      <w:sz w:val="26"/>
      <w:szCs w:val="26"/>
    </w:rPr>
  </w:style>
  <w:style w:type="paragraph" w:styleId="Heading4">
    <w:name w:val="heading 4"/>
    <w:basedOn w:val="Normal"/>
    <w:next w:val="Normal"/>
    <w:uiPriority w:val="9"/>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5">
    <w:name w:val="55"/>
    <w:basedOn w:val="TableNormal"/>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tblPr>
      <w:tblStyleRowBandSize w:val="1"/>
      <w:tblStyleColBandSize w:val="1"/>
      <w:tblInd w:w="0" w:type="dxa"/>
      <w:tblCellMar>
        <w:top w:w="0" w:type="dxa"/>
        <w:left w:w="115" w:type="dxa"/>
        <w:bottom w:w="0" w:type="dxa"/>
        <w:right w:w="115" w:type="dxa"/>
      </w:tblCellMar>
    </w:tblPr>
  </w:style>
  <w:style w:type="table" w:customStyle="1" w:styleId="53">
    <w:name w:val="53"/>
    <w:basedOn w:val="TableNormal"/>
    <w:tblPr>
      <w:tblStyleRowBandSize w:val="1"/>
      <w:tblStyleColBandSize w:val="1"/>
      <w:tblInd w:w="0" w:type="dxa"/>
      <w:tblCellMar>
        <w:top w:w="0" w:type="dxa"/>
        <w:left w:w="115" w:type="dxa"/>
        <w:bottom w:w="0" w:type="dxa"/>
        <w:right w:w="115" w:type="dxa"/>
      </w:tblCellMar>
    </w:tblPr>
  </w:style>
  <w:style w:type="table" w:customStyle="1" w:styleId="52">
    <w:name w:val="52"/>
    <w:basedOn w:val="TableNormal"/>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tblPr>
      <w:tblStyleRowBandSize w:val="1"/>
      <w:tblStyleColBandSize w:val="1"/>
      <w:tblInd w:w="0" w:type="dxa"/>
      <w:tblCellMar>
        <w:top w:w="0" w:type="dxa"/>
        <w:left w:w="115" w:type="dxa"/>
        <w:bottom w:w="0" w:type="dxa"/>
        <w:right w:w="115" w:type="dxa"/>
      </w:tblCellMar>
    </w:tblPr>
  </w:style>
  <w:style w:type="table" w:customStyle="1" w:styleId="50">
    <w:name w:val="50"/>
    <w:basedOn w:val="TableNormal"/>
    <w:tblPr>
      <w:tblStyleRowBandSize w:val="1"/>
      <w:tblStyleColBandSize w:val="1"/>
      <w:tblInd w:w="0" w:type="dxa"/>
      <w:tblCellMar>
        <w:top w:w="0" w:type="dxa"/>
        <w:left w:w="115" w:type="dxa"/>
        <w:bottom w:w="0" w:type="dxa"/>
        <w:right w:w="115" w:type="dxa"/>
      </w:tblCellMar>
    </w:tblPr>
  </w:style>
  <w:style w:type="table" w:customStyle="1" w:styleId="49">
    <w:name w:val="49"/>
    <w:basedOn w:val="TableNormal"/>
    <w:tblPr>
      <w:tblStyleRowBandSize w:val="1"/>
      <w:tblStyleColBandSize w:val="1"/>
      <w:tblInd w:w="0" w:type="dxa"/>
      <w:tblCellMar>
        <w:top w:w="0" w:type="dxa"/>
        <w:left w:w="115" w:type="dxa"/>
        <w:bottom w:w="0" w:type="dxa"/>
        <w:right w:w="115" w:type="dxa"/>
      </w:tblCellMar>
    </w:tblPr>
  </w:style>
  <w:style w:type="table" w:customStyle="1" w:styleId="48">
    <w:name w:val="48"/>
    <w:basedOn w:val="TableNormal"/>
    <w:tblPr>
      <w:tblStyleRowBandSize w:val="1"/>
      <w:tblStyleColBandSize w:val="1"/>
      <w:tblInd w:w="0" w:type="dxa"/>
      <w:tblCellMar>
        <w:top w:w="0" w:type="dxa"/>
        <w:left w:w="115" w:type="dxa"/>
        <w:bottom w:w="0" w:type="dxa"/>
        <w:right w:w="115" w:type="dxa"/>
      </w:tblCellMar>
    </w:tblPr>
  </w:style>
  <w:style w:type="table" w:customStyle="1" w:styleId="47">
    <w:name w:val="47"/>
    <w:basedOn w:val="TableNormal"/>
    <w:tblPr>
      <w:tblStyleRowBandSize w:val="1"/>
      <w:tblStyleColBandSize w:val="1"/>
      <w:tblInd w:w="0" w:type="dxa"/>
      <w:tblCellMar>
        <w:top w:w="0" w:type="dxa"/>
        <w:left w:w="115" w:type="dxa"/>
        <w:bottom w:w="0" w:type="dxa"/>
        <w:right w:w="115" w:type="dxa"/>
      </w:tblCellMar>
    </w:tblPr>
  </w:style>
  <w:style w:type="table" w:customStyle="1" w:styleId="46">
    <w:name w:val="46"/>
    <w:basedOn w:val="TableNormal"/>
    <w:tblPr>
      <w:tblStyleRowBandSize w:val="1"/>
      <w:tblStyleColBandSize w:val="1"/>
      <w:tblInd w:w="0" w:type="dxa"/>
      <w:tblCellMar>
        <w:top w:w="0" w:type="dxa"/>
        <w:left w:w="115" w:type="dxa"/>
        <w:bottom w:w="0" w:type="dxa"/>
        <w:right w:w="115" w:type="dxa"/>
      </w:tblCellMar>
    </w:tblPr>
  </w:style>
  <w:style w:type="table" w:customStyle="1" w:styleId="45">
    <w:name w:val="45"/>
    <w:basedOn w:val="TableNormal"/>
    <w:tblPr>
      <w:tblStyleRowBandSize w:val="1"/>
      <w:tblStyleColBandSize w:val="1"/>
      <w:tblInd w:w="0" w:type="dxa"/>
      <w:tblCellMar>
        <w:top w:w="0" w:type="dxa"/>
        <w:left w:w="115" w:type="dxa"/>
        <w:bottom w:w="0" w:type="dxa"/>
        <w:right w:w="115" w:type="dxa"/>
      </w:tblCellMar>
    </w:tblPr>
  </w:style>
  <w:style w:type="table" w:customStyle="1" w:styleId="44">
    <w:name w:val="44"/>
    <w:basedOn w:val="TableNormal"/>
    <w:tblPr>
      <w:tblStyleRowBandSize w:val="1"/>
      <w:tblStyleColBandSize w:val="1"/>
      <w:tblInd w:w="0" w:type="dxa"/>
      <w:tblCellMar>
        <w:top w:w="0" w:type="dxa"/>
        <w:left w:w="115" w:type="dxa"/>
        <w:bottom w:w="0" w:type="dxa"/>
        <w:right w:w="115" w:type="dxa"/>
      </w:tblCellMar>
    </w:tblPr>
  </w:style>
  <w:style w:type="table" w:customStyle="1" w:styleId="43">
    <w:name w:val="43"/>
    <w:basedOn w:val="TableNormal"/>
    <w:tblPr>
      <w:tblStyleRowBandSize w:val="1"/>
      <w:tblStyleColBandSize w:val="1"/>
      <w:tblInd w:w="0" w:type="dxa"/>
      <w:tblCellMar>
        <w:top w:w="0" w:type="dxa"/>
        <w:left w:w="115" w:type="dxa"/>
        <w:bottom w:w="0" w:type="dxa"/>
        <w:right w:w="115" w:type="dxa"/>
      </w:tblCellMar>
    </w:tblPr>
  </w:style>
  <w:style w:type="table" w:customStyle="1" w:styleId="42">
    <w:name w:val="42"/>
    <w:basedOn w:val="TableNormal"/>
    <w:tblPr>
      <w:tblStyleRowBandSize w:val="1"/>
      <w:tblStyleColBandSize w:val="1"/>
      <w:tblInd w:w="0" w:type="dxa"/>
      <w:tblCellMar>
        <w:top w:w="0" w:type="dxa"/>
        <w:left w:w="115" w:type="dxa"/>
        <w:bottom w:w="0" w:type="dxa"/>
        <w:right w:w="115" w:type="dxa"/>
      </w:tblCellMar>
    </w:tblPr>
  </w:style>
  <w:style w:type="table" w:customStyle="1" w:styleId="41">
    <w:name w:val="41"/>
    <w:basedOn w:val="TableNormal"/>
    <w:tblPr>
      <w:tblStyleRowBandSize w:val="1"/>
      <w:tblStyleColBandSize w:val="1"/>
      <w:tblInd w:w="0" w:type="dxa"/>
      <w:tblCellMar>
        <w:top w:w="0" w:type="dxa"/>
        <w:left w:w="115" w:type="dxa"/>
        <w:bottom w:w="0" w:type="dxa"/>
        <w:right w:w="115" w:type="dxa"/>
      </w:tblCellMar>
    </w:tblPr>
  </w:style>
  <w:style w:type="table" w:customStyle="1" w:styleId="40">
    <w:name w:val="40"/>
    <w:basedOn w:val="TableNormal"/>
    <w:tblPr>
      <w:tblStyleRowBandSize w:val="1"/>
      <w:tblStyleColBandSize w:val="1"/>
      <w:tblInd w:w="0" w:type="dxa"/>
      <w:tblCellMar>
        <w:top w:w="0" w:type="dxa"/>
        <w:left w:w="115" w:type="dxa"/>
        <w:bottom w:w="0" w:type="dxa"/>
        <w:right w:w="115" w:type="dxa"/>
      </w:tblCellMar>
    </w:tblPr>
  </w:style>
  <w:style w:type="table" w:customStyle="1" w:styleId="39">
    <w:name w:val="39"/>
    <w:basedOn w:val="TableNormal"/>
    <w:tblPr>
      <w:tblStyleRowBandSize w:val="1"/>
      <w:tblStyleColBandSize w:val="1"/>
      <w:tblInd w:w="0" w:type="dxa"/>
      <w:tblCellMar>
        <w:top w:w="0" w:type="dxa"/>
        <w:left w:w="115" w:type="dxa"/>
        <w:bottom w:w="0" w:type="dxa"/>
        <w:right w:w="115" w:type="dxa"/>
      </w:tblCellMar>
    </w:tblPr>
  </w:style>
  <w:style w:type="table" w:customStyle="1" w:styleId="38">
    <w:name w:val="38"/>
    <w:basedOn w:val="TableNormal"/>
    <w:tblPr>
      <w:tblStyleRowBandSize w:val="1"/>
      <w:tblStyleColBandSize w:val="1"/>
      <w:tblInd w:w="0" w:type="dxa"/>
      <w:tblCellMar>
        <w:top w:w="0" w:type="dxa"/>
        <w:left w:w="115" w:type="dxa"/>
        <w:bottom w:w="0" w:type="dxa"/>
        <w:right w:w="115" w:type="dxa"/>
      </w:tblCellMar>
    </w:tblPr>
  </w:style>
  <w:style w:type="table" w:customStyle="1" w:styleId="37">
    <w:name w:val="37"/>
    <w:basedOn w:val="TableNormal"/>
    <w:tblPr>
      <w:tblStyleRowBandSize w:val="1"/>
      <w:tblStyleColBandSize w:val="1"/>
      <w:tblInd w:w="0" w:type="dxa"/>
      <w:tblCellMar>
        <w:top w:w="0" w:type="dxa"/>
        <w:left w:w="115" w:type="dxa"/>
        <w:bottom w:w="0" w:type="dxa"/>
        <w:right w:w="115" w:type="dxa"/>
      </w:tblCellMar>
    </w:tblPr>
  </w:style>
  <w:style w:type="table" w:customStyle="1" w:styleId="36">
    <w:name w:val="36"/>
    <w:basedOn w:val="TableNormal"/>
    <w:tblPr>
      <w:tblStyleRowBandSize w:val="1"/>
      <w:tblStyleColBandSize w:val="1"/>
      <w:tblInd w:w="0" w:type="dxa"/>
      <w:tblCellMar>
        <w:top w:w="0" w:type="dxa"/>
        <w:left w:w="115" w:type="dxa"/>
        <w:bottom w:w="0" w:type="dxa"/>
        <w:right w:w="115" w:type="dxa"/>
      </w:tblCellMar>
    </w:tblPr>
  </w:style>
  <w:style w:type="table" w:customStyle="1" w:styleId="35">
    <w:name w:val="35"/>
    <w:basedOn w:val="TableNormal"/>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tblPr>
      <w:tblStyleRowBandSize w:val="1"/>
      <w:tblStyleColBandSize w:val="1"/>
      <w:tblInd w:w="0" w:type="dxa"/>
      <w:tblCellMar>
        <w:top w:w="0" w:type="dxa"/>
        <w:left w:w="30" w:type="dxa"/>
        <w:bottom w:w="0" w:type="dxa"/>
        <w:right w:w="30" w:type="dxa"/>
      </w:tblCellMar>
    </w:tblPr>
  </w:style>
  <w:style w:type="table" w:customStyle="1" w:styleId="32">
    <w:name w:val="32"/>
    <w:basedOn w:val="TableNormal"/>
    <w:tblPr>
      <w:tblStyleRowBandSize w:val="1"/>
      <w:tblStyleColBandSize w:val="1"/>
      <w:tblInd w:w="0" w:type="dxa"/>
      <w:tblCellMar>
        <w:top w:w="0" w:type="dxa"/>
        <w:left w:w="30" w:type="dxa"/>
        <w:bottom w:w="0" w:type="dxa"/>
        <w:right w:w="30" w:type="dxa"/>
      </w:tblCellMar>
    </w:tblPr>
  </w:style>
  <w:style w:type="table" w:customStyle="1" w:styleId="31">
    <w:name w:val="31"/>
    <w:basedOn w:val="TableNormal"/>
    <w:tblPr>
      <w:tblStyleRowBandSize w:val="1"/>
      <w:tblStyleColBandSize w:val="1"/>
      <w:tblInd w:w="0" w:type="dxa"/>
      <w:tblCellMar>
        <w:top w:w="0" w:type="dxa"/>
        <w:left w:w="0" w:type="dxa"/>
        <w:bottom w:w="0" w:type="dxa"/>
        <w:right w:w="0" w:type="dxa"/>
      </w:tblCellMar>
    </w:tblPr>
  </w:style>
  <w:style w:type="table" w:customStyle="1" w:styleId="30">
    <w:name w:val="30"/>
    <w:basedOn w:val="TableNormal"/>
    <w:tblPr>
      <w:tblStyleRowBandSize w:val="1"/>
      <w:tblStyleColBandSize w:val="1"/>
      <w:tblInd w:w="0" w:type="dxa"/>
      <w:tblCellMar>
        <w:top w:w="0" w:type="dxa"/>
        <w:left w:w="115" w:type="dxa"/>
        <w:bottom w:w="0" w:type="dxa"/>
        <w:right w:w="115" w:type="dxa"/>
      </w:tblCellMar>
    </w:tblPr>
  </w:style>
  <w:style w:type="table" w:customStyle="1" w:styleId="29">
    <w:name w:val="29"/>
    <w:basedOn w:val="TableNormal"/>
    <w:tblPr>
      <w:tblStyleRowBandSize w:val="1"/>
      <w:tblStyleColBandSize w:val="1"/>
      <w:tblInd w:w="0" w:type="dxa"/>
      <w:tblCellMar>
        <w:top w:w="28" w:type="dxa"/>
        <w:left w:w="115" w:type="dxa"/>
        <w:bottom w:w="28" w:type="dxa"/>
        <w:right w:w="115" w:type="dxa"/>
      </w:tblCellMar>
    </w:tblPr>
  </w:style>
  <w:style w:type="table" w:customStyle="1" w:styleId="28">
    <w:name w:val="28"/>
    <w:basedOn w:val="TableNormal"/>
    <w:tblPr>
      <w:tblStyleRowBandSize w:val="1"/>
      <w:tblStyleColBandSize w:val="1"/>
      <w:tblInd w:w="0" w:type="dxa"/>
      <w:tblCellMar>
        <w:top w:w="28" w:type="dxa"/>
        <w:left w:w="115" w:type="dxa"/>
        <w:bottom w:w="28" w:type="dxa"/>
        <w:right w:w="115" w:type="dxa"/>
      </w:tblCellMar>
    </w:tblPr>
  </w:style>
  <w:style w:type="table" w:customStyle="1" w:styleId="27">
    <w:name w:val="27"/>
    <w:basedOn w:val="TableNormal"/>
    <w:tblPr>
      <w:tblStyleRowBandSize w:val="1"/>
      <w:tblStyleColBandSize w:val="1"/>
      <w:tblInd w:w="0" w:type="dxa"/>
      <w:tblCellMar>
        <w:top w:w="0" w:type="dxa"/>
        <w:left w:w="115" w:type="dxa"/>
        <w:bottom w:w="0" w:type="dxa"/>
        <w:right w:w="115" w:type="dxa"/>
      </w:tblCellMar>
    </w:tblPr>
  </w:style>
  <w:style w:type="table" w:customStyle="1" w:styleId="26">
    <w:name w:val="26"/>
    <w:basedOn w:val="TableNormal"/>
    <w:tblPr>
      <w:tblStyleRowBandSize w:val="1"/>
      <w:tblStyleColBandSize w:val="1"/>
      <w:tblInd w:w="0" w:type="dxa"/>
      <w:tblCellMar>
        <w:top w:w="100" w:type="dxa"/>
        <w:left w:w="100" w:type="dxa"/>
        <w:bottom w:w="100" w:type="dxa"/>
        <w:right w:w="100" w:type="dxa"/>
      </w:tblCellMar>
    </w:tblPr>
  </w:style>
  <w:style w:type="table" w:customStyle="1" w:styleId="25">
    <w:name w:val="25"/>
    <w:basedOn w:val="TableNormal"/>
    <w:tblPr>
      <w:tblStyleRowBandSize w:val="1"/>
      <w:tblStyleColBandSize w:val="1"/>
      <w:tblInd w:w="0" w:type="dxa"/>
      <w:tblCellMar>
        <w:top w:w="100" w:type="dxa"/>
        <w:left w:w="100" w:type="dxa"/>
        <w:bottom w:w="100" w:type="dxa"/>
        <w:right w:w="100" w:type="dxa"/>
      </w:tblCellMar>
    </w:tblPr>
  </w:style>
  <w:style w:type="table" w:customStyle="1" w:styleId="24">
    <w:name w:val="24"/>
    <w:basedOn w:val="TableNormal"/>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tblPr>
      <w:tblStyleRowBandSize w:val="1"/>
      <w:tblStyleColBandSize w:val="1"/>
      <w:tblInd w:w="0" w:type="dxa"/>
      <w:tblCellMar>
        <w:top w:w="0" w:type="dxa"/>
        <w:left w:w="0" w:type="dxa"/>
        <w:bottom w:w="0" w:type="dxa"/>
        <w:right w:w="0" w:type="dxa"/>
      </w:tblCellMar>
    </w:tblPr>
  </w:style>
  <w:style w:type="table" w:customStyle="1" w:styleId="22">
    <w:name w:val="22"/>
    <w:basedOn w:val="TableNormal"/>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1">
    <w:name w:val="11"/>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10">
    <w:name w:val="10"/>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8">
    <w:name w:val="8"/>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7">
    <w:name w:val="7"/>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6">
    <w:name w:val="6"/>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5">
    <w:name w:val="5"/>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2DA4"/>
    <w:rPr>
      <w:sz w:val="18"/>
      <w:szCs w:val="18"/>
    </w:rPr>
  </w:style>
  <w:style w:type="character" w:customStyle="1" w:styleId="BalloonTextChar">
    <w:name w:val="Balloon Text Char"/>
    <w:basedOn w:val="DefaultParagraphFont"/>
    <w:link w:val="BalloonText"/>
    <w:uiPriority w:val="99"/>
    <w:semiHidden/>
    <w:rsid w:val="00FF2DA4"/>
    <w:rPr>
      <w:sz w:val="18"/>
      <w:szCs w:val="18"/>
    </w:rPr>
  </w:style>
  <w:style w:type="paragraph" w:styleId="ListParagraph">
    <w:name w:val="List Paragraph"/>
    <w:basedOn w:val="Normal"/>
    <w:uiPriority w:val="34"/>
    <w:qFormat/>
    <w:rsid w:val="00FD5C68"/>
    <w:pPr>
      <w:ind w:left="720"/>
      <w:contextualSpacing/>
    </w:pPr>
  </w:style>
  <w:style w:type="paragraph" w:styleId="Header">
    <w:name w:val="header"/>
    <w:basedOn w:val="Normal"/>
    <w:link w:val="HeaderChar"/>
    <w:uiPriority w:val="99"/>
    <w:unhideWhenUsed/>
    <w:rsid w:val="002C158C"/>
    <w:pPr>
      <w:tabs>
        <w:tab w:val="center" w:pos="4680"/>
        <w:tab w:val="right" w:pos="9360"/>
      </w:tabs>
    </w:pPr>
  </w:style>
  <w:style w:type="character" w:customStyle="1" w:styleId="HeaderChar">
    <w:name w:val="Header Char"/>
    <w:basedOn w:val="DefaultParagraphFont"/>
    <w:link w:val="Header"/>
    <w:uiPriority w:val="99"/>
    <w:rsid w:val="002C158C"/>
  </w:style>
  <w:style w:type="paragraph" w:styleId="Footer">
    <w:name w:val="footer"/>
    <w:basedOn w:val="Normal"/>
    <w:link w:val="FooterChar"/>
    <w:uiPriority w:val="99"/>
    <w:unhideWhenUsed/>
    <w:rsid w:val="002C158C"/>
    <w:pPr>
      <w:tabs>
        <w:tab w:val="center" w:pos="4680"/>
        <w:tab w:val="right" w:pos="9360"/>
      </w:tabs>
    </w:pPr>
  </w:style>
  <w:style w:type="character" w:customStyle="1" w:styleId="FooterChar">
    <w:name w:val="Footer Char"/>
    <w:basedOn w:val="DefaultParagraphFont"/>
    <w:link w:val="Footer"/>
    <w:uiPriority w:val="99"/>
    <w:rsid w:val="002C158C"/>
  </w:style>
  <w:style w:type="character" w:styleId="PlaceholderText">
    <w:name w:val="Placeholder Text"/>
    <w:basedOn w:val="DefaultParagraphFont"/>
    <w:uiPriority w:val="99"/>
    <w:semiHidden/>
    <w:rsid w:val="000C7BC1"/>
    <w:rPr>
      <w:color w:val="808080"/>
    </w:rPr>
  </w:style>
  <w:style w:type="table" w:styleId="TableGrid">
    <w:name w:val="Table Grid"/>
    <w:basedOn w:val="TableNormal"/>
    <w:uiPriority w:val="39"/>
    <w:rsid w:val="00640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5B6"/>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BF75B6"/>
    <w:rPr>
      <w:rFonts w:ascii="Calibri" w:hAnsi="Calibri"/>
      <w:sz w:val="20"/>
      <w:szCs w:val="20"/>
    </w:rPr>
  </w:style>
  <w:style w:type="character" w:styleId="FootnoteReference">
    <w:name w:val="footnote reference"/>
    <w:uiPriority w:val="99"/>
    <w:semiHidden/>
    <w:unhideWhenUsed/>
    <w:rsid w:val="00BF75B6"/>
    <w:rPr>
      <w:vertAlign w:val="superscript"/>
    </w:rPr>
  </w:style>
  <w:style w:type="paragraph" w:customStyle="1" w:styleId="ANoidunggxdeduvn">
    <w:name w:val="A Noi dung gxd.edu.vn"/>
    <w:basedOn w:val="Normal"/>
    <w:qFormat/>
    <w:rsid w:val="009E62F1"/>
    <w:pPr>
      <w:widowControl w:val="0"/>
      <w:tabs>
        <w:tab w:val="center" w:pos="4320"/>
        <w:tab w:val="right" w:pos="8640"/>
      </w:tabs>
      <w:spacing w:before="60" w:after="60" w:line="288" w:lineRule="auto"/>
      <w:ind w:firstLine="567"/>
      <w:jc w:val="both"/>
    </w:pPr>
    <w:rPr>
      <w:noProof/>
      <w:kern w:val="2"/>
      <w:lang w:val="fr-FR" w:eastAsia="zh-CN"/>
    </w:rPr>
  </w:style>
  <w:style w:type="character" w:styleId="Hyperlink">
    <w:name w:val="Hyperlink"/>
    <w:basedOn w:val="DefaultParagraphFont"/>
    <w:uiPriority w:val="99"/>
    <w:unhideWhenUsed/>
    <w:rsid w:val="0042288F"/>
    <w:rPr>
      <w:color w:val="FF0000"/>
      <w:u w:val="none"/>
    </w:rPr>
  </w:style>
  <w:style w:type="character" w:styleId="FollowedHyperlink">
    <w:name w:val="FollowedHyperlink"/>
    <w:basedOn w:val="DefaultParagraphFont"/>
    <w:uiPriority w:val="99"/>
    <w:semiHidden/>
    <w:unhideWhenUsed/>
    <w:rsid w:val="004F0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1BBDD-981F-43D3-B875-D08CECBD05DF}">
  <ds:schemaRefs>
    <ds:schemaRef ds:uri="http://schemas.openxmlformats.org/officeDocument/2006/bibliography"/>
  </ds:schemaRefs>
</ds:datastoreItem>
</file>

<file path=customXml/itemProps2.xml><?xml version="1.0" encoding="utf-8"?>
<ds:datastoreItem xmlns:ds="http://schemas.openxmlformats.org/officeDocument/2006/customXml" ds:itemID="{DE069C09-922C-416C-B94C-71E8721BE452}"/>
</file>

<file path=customXml/itemProps3.xml><?xml version="1.0" encoding="utf-8"?>
<ds:datastoreItem xmlns:ds="http://schemas.openxmlformats.org/officeDocument/2006/customXml" ds:itemID="{25C942F1-8DEE-4A61-8C0C-6F87105F562D}"/>
</file>

<file path=customXml/itemProps4.xml><?xml version="1.0" encoding="utf-8"?>
<ds:datastoreItem xmlns:ds="http://schemas.openxmlformats.org/officeDocument/2006/customXml" ds:itemID="{059370AB-E6F8-4C6B-B00A-7D43E9656CBB}"/>
</file>

<file path=docProps/app.xml><?xml version="1.0" encoding="utf-8"?>
<Properties xmlns="http://schemas.openxmlformats.org/officeDocument/2006/extended-properties" xmlns:vt="http://schemas.openxmlformats.org/officeDocument/2006/docPropsVTypes">
  <Template>Normal</Template>
  <TotalTime>2735</TotalTime>
  <Pages>6</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Hoài Thanh</dc:creator>
  <cp:lastModifiedBy>USER</cp:lastModifiedBy>
  <cp:revision>34</cp:revision>
  <cp:lastPrinted>2021-09-06T11:05:00Z</cp:lastPrinted>
  <dcterms:created xsi:type="dcterms:W3CDTF">2021-06-01T01:43:00Z</dcterms:created>
  <dcterms:modified xsi:type="dcterms:W3CDTF">2021-09-06T11:05:00Z</dcterms:modified>
</cp:coreProperties>
</file>